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  <w:t>附件3：全国疫情中高风险地区所在地市来（返）惠人健康管理措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41275</wp:posOffset>
            </wp:positionV>
            <wp:extent cx="6028690" cy="7280275"/>
            <wp:effectExtent l="0" t="0" r="10160" b="15875"/>
            <wp:wrapSquare wrapText="bothSides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color w:val="auto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-9266555</wp:posOffset>
            </wp:positionV>
            <wp:extent cx="6427470" cy="7442835"/>
            <wp:effectExtent l="0" t="0" r="11430" b="5715"/>
            <wp:wrapSquare wrapText="bothSides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1A1BCB"/>
    <w:rsid w:val="2BA5489F"/>
    <w:rsid w:val="4995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line="416" w:lineRule="atLeast"/>
      <w:ind w:firstLine="200" w:firstLineChars="200"/>
      <w:outlineLvl w:val="2"/>
    </w:pPr>
    <w:rPr>
      <w:rFonts w:eastAsia="楷体_GB2312"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2022-07-07T09:42:00Z</dcterms:created>
  <dc:creator>Administrator</dc:creator>
  <cp:lastModifiedBy>惠州市中医医院</cp:lastModifiedBy>
  <dcterms:modified xsi:type="dcterms:W3CDTF">2022-07-08T07:17:13Z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70E07C2DC6814D0AA4C1867A38A68704</vt:lpwstr>
  </property>
</Properties>
</file>