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</w:rPr>
        <w:t>惠州市中医医院202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</w:rPr>
        <w:t>年第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</w:rPr>
        <w:t>批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公开招聘聘用人员</w:t>
      </w:r>
    </w:p>
    <w:p>
      <w:pPr>
        <w:jc w:val="center"/>
        <w:rPr>
          <w:rFonts w:hint="eastAsia"/>
          <w:color w:val="auto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（医技人员）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职位表</w:t>
      </w:r>
    </w:p>
    <w:tbl>
      <w:tblPr>
        <w:tblStyle w:val="2"/>
        <w:tblW w:w="897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960"/>
        <w:gridCol w:w="668"/>
        <w:gridCol w:w="891"/>
        <w:gridCol w:w="747"/>
        <w:gridCol w:w="1049"/>
        <w:gridCol w:w="783"/>
        <w:gridCol w:w="795"/>
        <w:gridCol w:w="2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代码及岗位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B01骨科中医师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关节方向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B02骨科中医师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B03  内分泌科中医师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B04  重症医学科中医师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B05  外科中医师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外科（周围血管病方向）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  肺病科中医师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B08  眼科医师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1、取得住院医师规范化培训合格证或考试合格；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2、具备中级及以上职称；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3、具有2年以上相关工作经验；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4、能独立完成泪道疾病、斜弱视、玻璃体切除术或眼整形手术。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B09  综合内科医师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神经病学或内科学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B010 针灸科医师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B011 心病科医师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心血管方向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2、取得住院医师规范化培训合格证或考试合格；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3、有心血管介入经验或掌握心脏康复技术者优先。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综合内科中医师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中医学或中西医结合临床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脑病方向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B13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皮肤美容方向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B14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内科学或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重症医学方向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B15急诊内科医师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内科学或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急诊医学方向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B16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B19肾病科医师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肾脏病学方向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B20耳鼻喉科医师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取得副主任医师资格证。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口腔科副主任医师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取得副主任医师资格证。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肾病科主治中医师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中医学或中西医临床医学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3、有血透室工作经历，熟练掌握深静脉插管技术及能做PTA者优先。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取得相关资格证优先；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具有义肢矫形工作经验者优先。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康复医学科医师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1、取得执业医师资格证优先；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2、取得住院医师规范化培训合格证优先。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急诊内科医师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1、取得执业医师资格证；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2、取得住院医师规范化培训合格证或考试合格。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具有输血技术资格证者优先。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取得相关专业资格证书优先。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取得相关专业资格证书优先。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医疗统计员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有三甲医院医疗统计工作经验优先。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医疗设备工程师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病案室编码员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医学信息工程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B39放射技师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284917"/>
    <w:multiLevelType w:val="singleLevel"/>
    <w:tmpl w:val="CA28491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AA3F84F"/>
    <w:multiLevelType w:val="singleLevel"/>
    <w:tmpl w:val="1AA3F8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77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2023-03-30T08:30:59Z</dcterms:created>
  <dc:creator>Administrator</dc:creator>
  <cp:lastModifiedBy>锦雯</cp:lastModifiedBy>
  <dcterms:modified xsi:type="dcterms:W3CDTF">2023-03-30T08:31:21Z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8FE69CED06834A5591DC32F32D070130</vt:lpwstr>
  </property>
</Properties>
</file>