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Spec="center" w:tblpY="-11645"/>
        <w:tblOverlap w:val="never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惠州市中医医院市场调研表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其他：以上报价有效期为</w:t>
            </w:r>
            <w:r>
              <w:rPr>
                <w:rStyle w:val="6"/>
                <w:lang w:val="en-US" w:eastAsia="zh-CN" w:bidi="ar"/>
              </w:rPr>
              <w:t xml:space="preserve">     </w:t>
            </w:r>
            <w:r>
              <w:rPr>
                <w:rStyle w:val="7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TYxMTA4MzJiYTBiYjJhOTcxNDliMzE2ODFiYzYifQ=="/>
  </w:docVars>
  <w:rsids>
    <w:rsidRoot w:val="00000000"/>
    <w:rsid w:val="51A1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2023-09-08T09:47:02Z</dcterms:created>
  <dc:creator>Administrator</dc:creator>
  <cp:lastModifiedBy>惠州市中医医院</cp:lastModifiedBy>
  <dcterms:modified xsi:type="dcterms:W3CDTF">2023-09-08T09:47:15Z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72049623F9704149904C655C07327FDF_12</vt:lpwstr>
  </property>
</Properties>
</file>