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u w:val="none"/>
              </w:rPr>
              <w:t>东江新城院区四楼露台改造为办公室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u w:val="none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8C240C-00B9-4801-9590-6814771E16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DA7414-F1FA-4A0F-805B-B68E1E7413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8F3F18-3740-4E3E-8CB0-03C33F786BA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A1F596A-5742-4219-B9A4-6AFC7D3A2E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jkxMjlhNTc5YTA3YjQ2NjE5MGUyZWE5OTE0Y2QifQ=="/>
  </w:docVars>
  <w:rsids>
    <w:rsidRoot w:val="00000000"/>
    <w:rsid w:val="00DD5914"/>
    <w:rsid w:val="057B0A08"/>
    <w:rsid w:val="0C775488"/>
    <w:rsid w:val="345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2023-09-26T05:09:19Z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A330AB8BFBFB48E996F719D189FDF3D1_12</vt:lpwstr>
  </property>
</Properties>
</file>