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eastAsia="宋体"/>
          <w:color w:val="auto"/>
          <w:sz w:val="36"/>
          <w:szCs w:val="36"/>
          <w:highlight w:val="none"/>
        </w:rPr>
      </w:pPr>
      <w:bookmarkStart w:id="0" w:name="_Toc441851765"/>
      <w:bookmarkStart w:id="55" w:name="_GoBack"/>
      <w:bookmarkEnd w:id="55"/>
    </w:p>
    <w:p>
      <w:pPr>
        <w:jc w:val="center"/>
        <w:rPr>
          <w:rFonts w:ascii="宋体" w:hAnsi="宋体" w:eastAsia="宋体"/>
          <w:color w:val="auto"/>
          <w:sz w:val="36"/>
          <w:szCs w:val="36"/>
          <w:highlight w:val="none"/>
        </w:rPr>
      </w:pPr>
    </w:p>
    <w:p>
      <w:pPr>
        <w:spacing w:line="720" w:lineRule="auto"/>
        <w:jc w:val="center"/>
        <w:rPr>
          <w:rFonts w:hint="eastAsia" w:ascii="宋体" w:hAnsi="宋体" w:eastAsia="宋体" w:cs="宋体"/>
          <w:b/>
          <w:bCs/>
          <w:color w:val="auto"/>
          <w:sz w:val="40"/>
          <w:szCs w:val="40"/>
          <w:highlight w:val="none"/>
          <w:lang w:val="en-US" w:eastAsia="zh-CN"/>
        </w:rPr>
      </w:pPr>
    </w:p>
    <w:p>
      <w:pPr>
        <w:spacing w:line="720" w:lineRule="auto"/>
        <w:jc w:val="center"/>
        <w:rPr>
          <w:rFonts w:hint="eastAsia" w:ascii="宋体" w:hAnsi="宋体" w:eastAsia="宋体" w:cs="宋体"/>
          <w:b/>
          <w:bCs/>
          <w:color w:val="auto"/>
          <w:sz w:val="40"/>
          <w:szCs w:val="40"/>
          <w:highlight w:val="none"/>
          <w:lang w:val="en-US" w:eastAsia="zh-CN"/>
        </w:rPr>
      </w:pPr>
    </w:p>
    <w:p>
      <w:pPr>
        <w:spacing w:line="720" w:lineRule="auto"/>
        <w:jc w:val="center"/>
        <w:rPr>
          <w:rFonts w:hint="eastAsia" w:ascii="宋体" w:hAnsi="宋体" w:eastAsia="宋体" w:cs="宋体"/>
          <w:b/>
          <w:bCs/>
          <w:color w:val="auto"/>
          <w:sz w:val="40"/>
          <w:szCs w:val="40"/>
          <w:highlight w:val="none"/>
          <w:lang w:val="en-US" w:eastAsia="zh-CN"/>
        </w:rPr>
      </w:pPr>
    </w:p>
    <w:p>
      <w:pPr>
        <w:spacing w:line="720" w:lineRule="auto"/>
        <w:jc w:val="center"/>
        <w:rPr>
          <w:rFonts w:hint="eastAsia" w:ascii="宋体" w:hAnsi="宋体" w:eastAsia="宋体" w:cs="宋体"/>
          <w:b/>
          <w:bCs/>
          <w:color w:val="auto"/>
          <w:sz w:val="40"/>
          <w:szCs w:val="40"/>
          <w:highlight w:val="none"/>
          <w:lang w:val="en-US" w:eastAsia="zh-CN"/>
        </w:rPr>
      </w:pPr>
    </w:p>
    <w:p>
      <w:pPr>
        <w:spacing w:line="720" w:lineRule="auto"/>
        <w:jc w:val="center"/>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 xml:space="preserve">惠州市中医医院 </w:t>
      </w:r>
    </w:p>
    <w:p>
      <w:pPr>
        <w:spacing w:line="720" w:lineRule="auto"/>
        <w:jc w:val="center"/>
        <w:rPr>
          <w:rFonts w:ascii="宋体" w:hAnsi="宋体" w:eastAsia="宋体"/>
          <w:b/>
          <w:bCs/>
          <w:color w:val="auto"/>
          <w:sz w:val="40"/>
          <w:szCs w:val="40"/>
          <w:highlight w:val="none"/>
        </w:rPr>
      </w:pPr>
      <w:r>
        <w:rPr>
          <w:rFonts w:hint="eastAsia" w:ascii="宋体" w:hAnsi="宋体" w:eastAsia="宋体" w:cs="宋体"/>
          <w:b/>
          <w:bCs/>
          <w:color w:val="auto"/>
          <w:sz w:val="40"/>
          <w:szCs w:val="40"/>
          <w:highlight w:val="none"/>
          <w:lang w:val="en-US" w:eastAsia="zh-CN"/>
        </w:rPr>
        <w:t>2024-2025年</w:t>
      </w:r>
      <w:r>
        <w:rPr>
          <w:rFonts w:hint="eastAsia" w:ascii="宋体" w:hAnsi="宋体" w:eastAsia="宋体" w:cs="宋体"/>
          <w:b/>
          <w:bCs/>
          <w:color w:val="auto"/>
          <w:sz w:val="40"/>
          <w:szCs w:val="40"/>
          <w:highlight w:val="none"/>
        </w:rPr>
        <w:t>医疗责任</w:t>
      </w:r>
      <w:r>
        <w:rPr>
          <w:rFonts w:hint="eastAsia" w:ascii="宋体" w:hAnsi="宋体" w:eastAsia="宋体" w:cs="宋体"/>
          <w:b/>
          <w:bCs/>
          <w:color w:val="auto"/>
          <w:sz w:val="40"/>
          <w:szCs w:val="40"/>
          <w:highlight w:val="none"/>
          <w:lang w:eastAsia="zh-CN"/>
        </w:rPr>
        <w:t>保险</w:t>
      </w:r>
      <w:r>
        <w:rPr>
          <w:rFonts w:hint="eastAsia" w:ascii="宋体" w:hAnsi="宋体" w:eastAsia="宋体" w:cs="宋体"/>
          <w:b/>
          <w:bCs/>
          <w:color w:val="auto"/>
          <w:sz w:val="40"/>
          <w:szCs w:val="40"/>
          <w:highlight w:val="none"/>
        </w:rPr>
        <w:t>项目</w:t>
      </w:r>
    </w:p>
    <w:p>
      <w:pPr>
        <w:jc w:val="center"/>
        <w:rPr>
          <w:rFonts w:ascii="宋体" w:hAnsi="宋体" w:eastAsia="宋体"/>
          <w:color w:val="auto"/>
          <w:sz w:val="28"/>
          <w:szCs w:val="28"/>
          <w:highlight w:val="none"/>
        </w:rPr>
      </w:pPr>
      <w:r>
        <w:rPr>
          <w:rFonts w:hint="eastAsia" w:ascii="宋体" w:hAnsi="宋体" w:eastAsia="宋体" w:cs="宋体"/>
          <w:b/>
          <w:bCs/>
          <w:color w:val="auto"/>
          <w:sz w:val="40"/>
          <w:szCs w:val="40"/>
          <w:highlight w:val="none"/>
          <w:lang w:eastAsia="zh-CN"/>
        </w:rPr>
        <w:t>项目需求书</w:t>
      </w:r>
    </w:p>
    <w:p>
      <w:pPr>
        <w:jc w:val="center"/>
        <w:rPr>
          <w:rFonts w:ascii="宋体" w:hAnsi="宋体" w:eastAsia="宋体"/>
          <w:color w:val="auto"/>
          <w:sz w:val="28"/>
          <w:szCs w:val="28"/>
          <w:highlight w:val="none"/>
        </w:rPr>
      </w:pPr>
    </w:p>
    <w:p>
      <w:pPr>
        <w:jc w:val="center"/>
        <w:rPr>
          <w:rFonts w:ascii="宋体" w:hAnsi="宋体" w:eastAsia="宋体"/>
          <w:color w:val="auto"/>
          <w:sz w:val="28"/>
          <w:szCs w:val="28"/>
          <w:highlight w:val="none"/>
        </w:rPr>
      </w:pPr>
    </w:p>
    <w:p>
      <w:pPr>
        <w:jc w:val="center"/>
        <w:rPr>
          <w:rFonts w:ascii="宋体" w:hAnsi="宋体" w:eastAsia="宋体"/>
          <w:color w:val="auto"/>
          <w:sz w:val="28"/>
          <w:szCs w:val="28"/>
          <w:highlight w:val="none"/>
        </w:rPr>
      </w:pPr>
    </w:p>
    <w:p>
      <w:pPr>
        <w:jc w:val="center"/>
        <w:rPr>
          <w:rFonts w:ascii="宋体" w:hAnsi="宋体" w:eastAsia="宋体"/>
          <w:color w:val="auto"/>
          <w:sz w:val="28"/>
          <w:szCs w:val="28"/>
          <w:highlight w:val="none"/>
        </w:rPr>
      </w:pPr>
    </w:p>
    <w:p>
      <w:pPr>
        <w:pStyle w:val="2"/>
        <w:rPr>
          <w:rFonts w:ascii="宋体" w:hAnsi="宋体" w:eastAsia="宋体"/>
          <w:color w:val="auto"/>
          <w:sz w:val="28"/>
          <w:szCs w:val="28"/>
          <w:highlight w:val="none"/>
        </w:rPr>
      </w:pPr>
    </w:p>
    <w:p>
      <w:pPr>
        <w:pStyle w:val="3"/>
        <w:rPr>
          <w:rFonts w:ascii="宋体" w:hAnsi="宋体" w:eastAsia="宋体"/>
          <w:color w:val="auto"/>
          <w:sz w:val="28"/>
          <w:szCs w:val="28"/>
          <w:highlight w:val="none"/>
        </w:rPr>
      </w:pPr>
    </w:p>
    <w:p>
      <w:pPr>
        <w:pStyle w:val="3"/>
        <w:rPr>
          <w:rFonts w:ascii="宋体" w:hAnsi="宋体" w:eastAsia="宋体"/>
          <w:color w:val="auto"/>
          <w:sz w:val="28"/>
          <w:szCs w:val="28"/>
          <w:highlight w:val="none"/>
        </w:rPr>
      </w:pPr>
    </w:p>
    <w:p>
      <w:pPr>
        <w:jc w:val="center"/>
        <w:rPr>
          <w:rFonts w:ascii="宋体" w:hAnsi="宋体" w:eastAsia="宋体"/>
          <w:color w:val="auto"/>
          <w:sz w:val="28"/>
          <w:szCs w:val="28"/>
          <w:highlight w:val="none"/>
        </w:rPr>
      </w:pPr>
    </w:p>
    <w:p>
      <w:pPr>
        <w:pStyle w:val="2"/>
        <w:rPr>
          <w:rFonts w:ascii="宋体" w:hAnsi="宋体" w:eastAsia="宋体"/>
          <w:color w:val="auto"/>
          <w:sz w:val="28"/>
          <w:szCs w:val="28"/>
          <w:highlight w:val="none"/>
        </w:rPr>
      </w:pPr>
    </w:p>
    <w:p>
      <w:pPr>
        <w:pStyle w:val="3"/>
        <w:ind w:left="0" w:leftChars="0" w:firstLine="0" w:firstLineChars="0"/>
        <w:rPr>
          <w:rFonts w:hint="eastAsia" w:ascii="宋体" w:hAnsi="宋体" w:eastAsia="宋体"/>
          <w:color w:val="auto"/>
          <w:sz w:val="28"/>
          <w:szCs w:val="28"/>
          <w:highlight w:val="none"/>
          <w:lang w:val="en-US" w:eastAsia="zh-CN"/>
        </w:rPr>
      </w:pPr>
    </w:p>
    <w:bookmarkEnd w:id="0"/>
    <w:p>
      <w:pPr>
        <w:pStyle w:val="5"/>
        <w:numPr>
          <w:ilvl w:val="0"/>
          <w:numId w:val="2"/>
        </w:numPr>
        <w:rPr>
          <w:rFonts w:hint="eastAsia"/>
          <w:color w:val="auto"/>
          <w:sz w:val="21"/>
          <w:szCs w:val="21"/>
          <w:highlight w:val="none"/>
          <w:lang w:eastAsia="zh-CN"/>
        </w:rPr>
      </w:pPr>
      <w:bookmarkStart w:id="1" w:name="_Toc24671"/>
      <w:bookmarkStart w:id="2" w:name="_Toc8927"/>
      <w:r>
        <w:rPr>
          <w:rFonts w:hint="eastAsia"/>
          <w:color w:val="auto"/>
          <w:highlight w:val="none"/>
          <w:lang w:eastAsia="zh-CN"/>
        </w:rPr>
        <w:t>项目概况</w:t>
      </w:r>
    </w:p>
    <w:tbl>
      <w:tblPr>
        <w:tblStyle w:val="25"/>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4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872" w:type="dxa"/>
            <w:vAlign w:val="center"/>
          </w:tcPr>
          <w:p>
            <w:pPr>
              <w:tabs>
                <w:tab w:val="left" w:pos="360"/>
              </w:tabs>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服务内容</w:t>
            </w:r>
          </w:p>
        </w:tc>
        <w:tc>
          <w:tcPr>
            <w:tcW w:w="4924" w:type="dxa"/>
            <w:vAlign w:val="center"/>
          </w:tcPr>
          <w:p>
            <w:pPr>
              <w:tabs>
                <w:tab w:val="left" w:pos="360"/>
              </w:tabs>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72" w:type="dxa"/>
            <w:vAlign w:val="center"/>
          </w:tcPr>
          <w:p>
            <w:pPr>
              <w:tabs>
                <w:tab w:val="left" w:pos="360"/>
              </w:tabs>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2024-2025年医疗责任险</w:t>
            </w:r>
          </w:p>
        </w:tc>
        <w:tc>
          <w:tcPr>
            <w:tcW w:w="4924" w:type="dxa"/>
            <w:vAlign w:val="center"/>
          </w:tcPr>
          <w:p>
            <w:pPr>
              <w:tabs>
                <w:tab w:val="left" w:pos="360"/>
              </w:tabs>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一年</w:t>
            </w:r>
          </w:p>
        </w:tc>
      </w:tr>
    </w:tbl>
    <w:p>
      <w:pPr>
        <w:numPr>
          <w:ilvl w:val="0"/>
          <w:numId w:val="0"/>
        </w:numPr>
        <w:rPr>
          <w:rFonts w:hint="eastAsia" w:ascii="宋体" w:hAnsi="宋体" w:eastAsia="宋体" w:cs="宋体"/>
          <w:sz w:val="21"/>
          <w:szCs w:val="21"/>
          <w:lang w:eastAsia="zh-CN"/>
        </w:rPr>
      </w:pPr>
    </w:p>
    <w:p>
      <w:pPr>
        <w:pStyle w:val="5"/>
        <w:rPr>
          <w:rFonts w:hint="eastAsia" w:ascii="宋体" w:hAnsi="宋体" w:eastAsia="宋体" w:cs="宋体"/>
          <w:sz w:val="21"/>
          <w:szCs w:val="21"/>
          <w:lang w:eastAsia="zh-CN"/>
        </w:rPr>
      </w:pPr>
      <w:r>
        <w:rPr>
          <w:rFonts w:hint="eastAsia" w:ascii="宋体" w:hAnsi="宋体" w:eastAsia="宋体" w:cs="宋体"/>
          <w:b/>
          <w:bCs/>
          <w:color w:val="auto"/>
          <w:sz w:val="21"/>
          <w:szCs w:val="21"/>
          <w:highlight w:val="none"/>
          <w:lang w:eastAsia="zh-CN"/>
        </w:rPr>
        <w:t>二、惠州市中医医院</w:t>
      </w:r>
      <w:r>
        <w:rPr>
          <w:rFonts w:hint="eastAsia" w:ascii="宋体" w:hAnsi="宋体" w:eastAsia="宋体" w:cs="宋体"/>
          <w:b/>
          <w:bCs/>
          <w:color w:val="auto"/>
          <w:sz w:val="21"/>
          <w:szCs w:val="21"/>
          <w:highlight w:val="none"/>
        </w:rPr>
        <w:t>基本信息</w:t>
      </w:r>
      <w:bookmarkEnd w:id="1"/>
      <w:bookmarkEnd w:id="2"/>
      <w:r>
        <w:rPr>
          <w:rFonts w:hint="eastAsia" w:ascii="宋体" w:hAnsi="宋体" w:eastAsia="宋体" w:cs="宋体"/>
          <w:b/>
          <w:bCs/>
          <w:color w:val="auto"/>
          <w:sz w:val="21"/>
          <w:szCs w:val="21"/>
          <w:highlight w:val="none"/>
          <w:lang w:eastAsia="zh-CN"/>
        </w:rPr>
        <w:t>：</w:t>
      </w:r>
    </w:p>
    <w:tbl>
      <w:tblPr>
        <w:tblStyle w:val="25"/>
        <w:tblpPr w:leftFromText="180" w:rightFromText="180" w:vertAnchor="text" w:horzAnchor="page" w:tblpX="1943" w:tblpY="22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58"/>
        <w:gridCol w:w="5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58" w:type="dxa"/>
          </w:tcPr>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p>
        </w:tc>
        <w:tc>
          <w:tcPr>
            <w:tcW w:w="5283" w:type="dxa"/>
          </w:tcPr>
          <w:p>
            <w:pPr>
              <w:autoSpaceDE w:val="0"/>
              <w:autoSpaceDN w:val="0"/>
              <w:adjustRightInd w:val="0"/>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惠州市中医医院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58" w:type="dxa"/>
          </w:tcPr>
          <w:p>
            <w:pPr>
              <w:autoSpaceDE w:val="0"/>
              <w:autoSpaceDN w:val="0"/>
              <w:adjustRightInd w:val="0"/>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p>
        </w:tc>
        <w:tc>
          <w:tcPr>
            <w:tcW w:w="5283" w:type="dxa"/>
          </w:tcPr>
          <w:p>
            <w:pPr>
              <w:autoSpaceDE w:val="0"/>
              <w:autoSpaceDN w:val="0"/>
              <w:adjustRightInd w:val="0"/>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惠州市惠城区大湖溪东江新城东升一种（东院区）</w:t>
            </w:r>
          </w:p>
          <w:p>
            <w:pPr>
              <w:pStyle w:val="2"/>
              <w:ind w:left="0" w:leftChars="0" w:firstLine="0" w:firstLineChars="0"/>
              <w:jc w:val="left"/>
              <w:rPr>
                <w:rFonts w:hint="default"/>
                <w:lang w:val="en-US" w:eastAsia="zh-CN"/>
              </w:rPr>
            </w:pPr>
            <w:r>
              <w:rPr>
                <w:rFonts w:hint="eastAsia" w:ascii="宋体" w:hAnsi="宋体" w:eastAsia="宋体" w:cs="宋体"/>
                <w:sz w:val="21"/>
                <w:szCs w:val="21"/>
                <w:lang w:val="en-US" w:eastAsia="zh-CN"/>
              </w:rPr>
              <w:t>惠州市惠城区下角菱湖三路1号（西院区）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58"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医疗机构等级：</w:t>
            </w:r>
          </w:p>
        </w:tc>
        <w:tc>
          <w:tcPr>
            <w:tcW w:w="5283"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58"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医疗机构类别：</w:t>
            </w:r>
          </w:p>
        </w:tc>
        <w:tc>
          <w:tcPr>
            <w:tcW w:w="5283"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2858"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床位数：</w:t>
            </w:r>
          </w:p>
        </w:tc>
        <w:tc>
          <w:tcPr>
            <w:tcW w:w="5283"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800</w:t>
            </w:r>
            <w:r>
              <w:rPr>
                <w:rFonts w:hint="eastAsia" w:ascii="宋体" w:hAnsi="宋体" w:eastAsia="宋体" w:cs="宋体"/>
                <w:color w:val="auto"/>
                <w:sz w:val="21"/>
                <w:szCs w:val="21"/>
                <w:highlight w:val="none"/>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58"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医务人员数：</w:t>
            </w:r>
          </w:p>
        </w:tc>
        <w:tc>
          <w:tcPr>
            <w:tcW w:w="5283"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r>
              <w:rPr>
                <w:rFonts w:hint="eastAsia" w:ascii="宋体" w:hAnsi="宋体" w:eastAsia="宋体" w:cs="宋体"/>
                <w:color w:val="auto"/>
                <w:sz w:val="21"/>
                <w:szCs w:val="21"/>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58"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上年度门（急）诊人次：</w:t>
            </w:r>
          </w:p>
        </w:tc>
        <w:tc>
          <w:tcPr>
            <w:tcW w:w="5283"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896,981</w:t>
            </w:r>
            <w:r>
              <w:rPr>
                <w:rFonts w:hint="eastAsia" w:ascii="宋体" w:hAnsi="宋体" w:eastAsia="宋体" w:cs="宋体"/>
                <w:color w:val="auto"/>
                <w:sz w:val="21"/>
                <w:szCs w:val="21"/>
                <w:highlight w:val="none"/>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58" w:type="dxa"/>
          </w:tcPr>
          <w:p>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上年度出院人数：</w:t>
            </w:r>
          </w:p>
        </w:tc>
        <w:tc>
          <w:tcPr>
            <w:tcW w:w="5283" w:type="dxa"/>
          </w:tcPr>
          <w:p>
            <w:pPr>
              <w:autoSpaceDE w:val="0"/>
              <w:autoSpaceDN w:val="0"/>
              <w:adjustRightInd w:val="0"/>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27,101</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次</w:t>
            </w:r>
          </w:p>
        </w:tc>
      </w:tr>
    </w:tbl>
    <w:p>
      <w:pPr>
        <w:rPr>
          <w:rFonts w:hint="eastAsia" w:ascii="宋体" w:hAnsi="宋体" w:eastAsia="宋体" w:cs="宋体"/>
          <w:color w:val="auto"/>
          <w:kern w:val="0"/>
          <w:sz w:val="21"/>
          <w:szCs w:val="21"/>
          <w:highlight w:val="none"/>
        </w:rPr>
      </w:pPr>
    </w:p>
    <w:p>
      <w:pPr>
        <w:pStyle w:val="5"/>
        <w:numPr>
          <w:ilvl w:val="0"/>
          <w:numId w:val="2"/>
        </w:numPr>
        <w:ind w:left="0" w:leftChars="0" w:firstLine="0" w:firstLineChars="0"/>
        <w:rPr>
          <w:rFonts w:hint="eastAsia" w:ascii="宋体" w:hAnsi="宋体" w:eastAsia="宋体" w:cs="宋体"/>
          <w:b/>
          <w:color w:val="auto"/>
          <w:kern w:val="2"/>
          <w:sz w:val="21"/>
          <w:szCs w:val="21"/>
          <w:highlight w:val="none"/>
          <w:lang w:val="en-US" w:eastAsia="zh-CN" w:bidi="ar-SA"/>
        </w:rPr>
      </w:pPr>
      <w:bookmarkStart w:id="3" w:name="OLE_LINK1"/>
      <w:r>
        <w:rPr>
          <w:rFonts w:hint="eastAsia" w:ascii="宋体" w:hAnsi="宋体" w:eastAsia="宋体" w:cs="宋体"/>
          <w:color w:val="auto"/>
          <w:sz w:val="21"/>
          <w:szCs w:val="21"/>
          <w:highlight w:val="none"/>
        </w:rPr>
        <w:t>供应商服务要求及工作范围</w:t>
      </w:r>
      <w:bookmarkEnd w:id="3"/>
      <w:bookmarkStart w:id="4" w:name="_Toc8204"/>
      <w:bookmarkStart w:id="5" w:name="_Toc24002"/>
      <w:bookmarkStart w:id="6" w:name="_Toc29299"/>
    </w:p>
    <w:bookmarkEnd w:id="4"/>
    <w:bookmarkEnd w:id="5"/>
    <w:bookmarkEnd w:id="6"/>
    <w:p>
      <w:pPr>
        <w:keepNext w:val="0"/>
        <w:keepLines w:val="0"/>
        <w:pageBreakBefore w:val="0"/>
        <w:widowControl w:val="0"/>
        <w:numPr>
          <w:ilvl w:val="0"/>
          <w:numId w:val="3"/>
        </w:numPr>
        <w:tabs>
          <w:tab w:val="left" w:pos="360"/>
        </w:tabs>
        <w:kinsoku/>
        <w:wordWrap/>
        <w:overflowPunct/>
        <w:topLinePunct w:val="0"/>
        <w:autoSpaceDE/>
        <w:autoSpaceDN/>
        <w:bidi w:val="0"/>
        <w:adjustRightInd/>
        <w:snapToGrid/>
        <w:spacing w:line="276" w:lineRule="auto"/>
        <w:ind w:firstLine="422" w:firstLineChars="200"/>
        <w:jc w:val="left"/>
        <w:textAlignment w:val="auto"/>
        <w:rPr>
          <w:rFonts w:hint="eastAsia" w:ascii="宋体" w:hAnsi="宋体" w:eastAsia="宋体" w:cs="宋体"/>
          <w:b/>
          <w:bCs/>
          <w:color w:val="auto"/>
          <w:sz w:val="21"/>
          <w:szCs w:val="21"/>
          <w:highlight w:val="none"/>
          <w:lang w:eastAsia="zh-CN"/>
        </w:rPr>
      </w:pPr>
      <w:bookmarkStart w:id="7" w:name="_Toc4098"/>
      <w:bookmarkStart w:id="8" w:name="_Toc16115"/>
      <w:bookmarkStart w:id="9" w:name="_Toc4063"/>
      <w:bookmarkStart w:id="10" w:name="_Toc800"/>
      <w:bookmarkStart w:id="11" w:name="_Toc9976"/>
      <w:bookmarkStart w:id="12" w:name="_Toc19890"/>
      <w:bookmarkStart w:id="13" w:name="_Toc14683"/>
      <w:bookmarkStart w:id="14" w:name="_Toc2458"/>
      <w:bookmarkStart w:id="15" w:name="_Toc29891"/>
      <w:bookmarkStart w:id="16" w:name="_Toc22730"/>
      <w:bookmarkStart w:id="17" w:name="_Toc440831199"/>
      <w:bookmarkStart w:id="18" w:name="_Toc28645"/>
      <w:bookmarkStart w:id="19" w:name="_Toc30195"/>
      <w:bookmarkStart w:id="20" w:name="_Toc22532"/>
      <w:bookmarkStart w:id="21" w:name="_Toc7331"/>
      <w:bookmarkStart w:id="22" w:name="_Toc20052"/>
      <w:bookmarkStart w:id="23" w:name="_Toc15547"/>
      <w:bookmarkStart w:id="24" w:name="_Toc2451"/>
      <w:bookmarkStart w:id="25" w:name="_Toc1088"/>
      <w:bookmarkStart w:id="26" w:name="_Toc8808"/>
      <w:bookmarkStart w:id="27" w:name="_Toc31098"/>
      <w:bookmarkStart w:id="28" w:name="_Toc3912"/>
      <w:bookmarkStart w:id="29" w:name="_Toc27916"/>
      <w:bookmarkStart w:id="30" w:name="_Toc20432"/>
      <w:bookmarkStart w:id="31" w:name="_Toc15862"/>
      <w:bookmarkStart w:id="32" w:name="_Toc8086"/>
      <w:bookmarkStart w:id="33" w:name="_Toc31684"/>
      <w:bookmarkStart w:id="34" w:name="_Toc5163"/>
      <w:bookmarkStart w:id="35" w:name="_Toc18447"/>
      <w:bookmarkStart w:id="36" w:name="_Toc30223"/>
      <w:bookmarkStart w:id="37" w:name="_Toc4834"/>
      <w:bookmarkStart w:id="38" w:name="_Toc9977"/>
      <w:bookmarkStart w:id="39" w:name="_Toc1833"/>
      <w:bookmarkStart w:id="40" w:name="_Toc28409"/>
      <w:bookmarkStart w:id="41" w:name="_Toc25081"/>
      <w:r>
        <w:rPr>
          <w:rFonts w:hint="eastAsia" w:ascii="宋体" w:hAnsi="宋体" w:eastAsia="宋体" w:cs="宋体"/>
          <w:b/>
          <w:bCs/>
          <w:color w:val="auto"/>
          <w:sz w:val="21"/>
          <w:szCs w:val="21"/>
          <w:highlight w:val="none"/>
          <w:lang w:eastAsia="zh-CN"/>
        </w:rPr>
        <w:t>承保条件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934"/>
        <w:gridCol w:w="1504"/>
        <w:gridCol w:w="1659"/>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56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方案</w:t>
            </w:r>
          </w:p>
        </w:tc>
        <w:tc>
          <w:tcPr>
            <w:tcW w:w="1934"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累计赔偿限额</w:t>
            </w:r>
          </w:p>
        </w:tc>
        <w:tc>
          <w:tcPr>
            <w:tcW w:w="1504"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每次事故赔偿限额</w:t>
            </w:r>
          </w:p>
        </w:tc>
        <w:tc>
          <w:tcPr>
            <w:tcW w:w="1659"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法律费每次及累计赔偿限额</w:t>
            </w:r>
          </w:p>
        </w:tc>
        <w:tc>
          <w:tcPr>
            <w:tcW w:w="1816"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方案</w:t>
            </w:r>
          </w:p>
        </w:tc>
        <w:tc>
          <w:tcPr>
            <w:tcW w:w="1934"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400万元</w:t>
            </w:r>
          </w:p>
        </w:tc>
        <w:tc>
          <w:tcPr>
            <w:tcW w:w="1504"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100万元</w:t>
            </w:r>
          </w:p>
        </w:tc>
        <w:tc>
          <w:tcPr>
            <w:tcW w:w="1659"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40万元</w:t>
            </w:r>
          </w:p>
        </w:tc>
        <w:tc>
          <w:tcPr>
            <w:tcW w:w="1816" w:type="dxa"/>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零免赔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保险期间</w:t>
            </w:r>
          </w:p>
        </w:tc>
        <w:tc>
          <w:tcPr>
            <w:tcW w:w="6913" w:type="dxa"/>
            <w:gridSpan w:val="4"/>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一年，自20</w:t>
            </w:r>
            <w:r>
              <w:rPr>
                <w:rFonts w:hint="eastAsia" w:ascii="宋体" w:hAnsi="宋体" w:eastAsia="宋体" w:cs="宋体"/>
                <w:sz w:val="21"/>
                <w:szCs w:val="21"/>
                <w:lang w:val="en-US" w:eastAsia="zh-CN"/>
              </w:rPr>
              <w:t>24</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17</w:t>
            </w:r>
            <w:r>
              <w:rPr>
                <w:rFonts w:hint="eastAsia" w:ascii="宋体" w:hAnsi="宋体" w:eastAsia="宋体" w:cs="宋体"/>
                <w:sz w:val="21"/>
                <w:szCs w:val="21"/>
              </w:rPr>
              <w:t>日零时起至20</w:t>
            </w:r>
            <w:r>
              <w:rPr>
                <w:rFonts w:hint="eastAsia" w:ascii="宋体" w:hAnsi="宋体" w:eastAsia="宋体" w:cs="宋体"/>
                <w:sz w:val="21"/>
                <w:szCs w:val="21"/>
                <w:lang w:val="en-US" w:eastAsia="zh-CN"/>
              </w:rPr>
              <w:t>25</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16</w:t>
            </w:r>
            <w:r>
              <w:rPr>
                <w:rFonts w:hint="eastAsia" w:ascii="宋体" w:hAnsi="宋体" w:eastAsia="宋体" w:cs="宋体"/>
                <w:sz w:val="21"/>
                <w:szCs w:val="21"/>
              </w:rPr>
              <w:t>日二十四时止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追溯期</w:t>
            </w:r>
          </w:p>
        </w:tc>
        <w:tc>
          <w:tcPr>
            <w:tcW w:w="6913" w:type="dxa"/>
            <w:gridSpan w:val="4"/>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eastAsia="zh-CN"/>
              </w:rPr>
              <w:t>三</w:t>
            </w:r>
            <w:r>
              <w:rPr>
                <w:rFonts w:hint="eastAsia" w:ascii="宋体" w:hAnsi="宋体" w:eastAsia="宋体" w:cs="宋体"/>
                <w:sz w:val="21"/>
                <w:szCs w:val="21"/>
              </w:rPr>
              <w:t>年，自20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17</w:t>
            </w:r>
            <w:r>
              <w:rPr>
                <w:rFonts w:hint="eastAsia" w:ascii="宋体" w:hAnsi="宋体" w:eastAsia="宋体" w:cs="宋体"/>
                <w:sz w:val="21"/>
                <w:szCs w:val="21"/>
              </w:rPr>
              <w:t>日零时起至20</w:t>
            </w:r>
            <w:r>
              <w:rPr>
                <w:rFonts w:hint="eastAsia" w:ascii="宋体" w:hAnsi="宋体" w:eastAsia="宋体" w:cs="宋体"/>
                <w:sz w:val="21"/>
                <w:szCs w:val="21"/>
                <w:lang w:val="en-US" w:eastAsia="zh-CN"/>
              </w:rPr>
              <w:t>24</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16</w:t>
            </w:r>
            <w:r>
              <w:rPr>
                <w:rFonts w:hint="eastAsia" w:ascii="宋体" w:hAnsi="宋体" w:eastAsia="宋体" w:cs="宋体"/>
                <w:sz w:val="21"/>
                <w:szCs w:val="21"/>
              </w:rPr>
              <w:t>日二十四时止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自行和解</w:t>
            </w:r>
          </w:p>
        </w:tc>
        <w:tc>
          <w:tcPr>
            <w:tcW w:w="6913" w:type="dxa"/>
            <w:gridSpan w:val="4"/>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被保险人自行与患方达成协议每次赔偿限额 1 万元；</w:t>
            </w:r>
          </w:p>
          <w:p>
            <w:pPr>
              <w:rPr>
                <w:rFonts w:hint="eastAsia" w:ascii="宋体" w:hAnsi="宋体" w:eastAsia="宋体" w:cs="宋体"/>
                <w:bCs/>
                <w:kern w:val="2"/>
                <w:sz w:val="21"/>
                <w:szCs w:val="21"/>
                <w:lang w:val="en-US" w:eastAsia="zh-CN" w:bidi="ar-SA"/>
              </w:rPr>
            </w:pPr>
            <w:r>
              <w:rPr>
                <w:rFonts w:hint="eastAsia" w:ascii="宋体" w:hAnsi="宋体" w:eastAsia="宋体" w:cs="宋体"/>
                <w:color w:val="auto"/>
                <w:sz w:val="21"/>
                <w:szCs w:val="21"/>
                <w:highlight w:val="none"/>
              </w:rPr>
              <w:t>被保险人自行与患方达成协议累计赔偿限额不低于当年保险费的 10%</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适用条款</w:t>
            </w:r>
          </w:p>
        </w:tc>
        <w:tc>
          <w:tcPr>
            <w:tcW w:w="6913" w:type="dxa"/>
            <w:gridSpan w:val="4"/>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kern w:val="0"/>
                <w:sz w:val="21"/>
                <w:szCs w:val="21"/>
                <w:lang w:val="en-US" w:eastAsia="zh-CN"/>
              </w:rPr>
              <w:t>参照</w:t>
            </w:r>
            <w:r>
              <w:rPr>
                <w:rFonts w:hint="eastAsia" w:ascii="宋体" w:hAnsi="宋体" w:eastAsia="宋体" w:cs="宋体"/>
                <w:kern w:val="0"/>
                <w:sz w:val="21"/>
                <w:szCs w:val="21"/>
              </w:rPr>
              <w:t>《广东省医疗机构医疗责任保险统保条款》</w:t>
            </w:r>
            <w:r>
              <w:rPr>
                <w:rFonts w:hint="eastAsia" w:ascii="宋体" w:hAnsi="宋体" w:eastAsia="宋体" w:cs="宋体"/>
                <w:kern w:val="0"/>
                <w:sz w:val="21"/>
                <w:szCs w:val="21"/>
                <w:lang w:eastAsia="zh-CN"/>
              </w:rPr>
              <w:t>（详见附件</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赔偿处理</w:t>
            </w:r>
          </w:p>
        </w:tc>
        <w:tc>
          <w:tcPr>
            <w:tcW w:w="6913" w:type="dxa"/>
            <w:gridSpan w:val="4"/>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Cs/>
                <w:kern w:val="2"/>
                <w:sz w:val="21"/>
                <w:szCs w:val="21"/>
                <w:lang w:val="en-US" w:eastAsia="zh-CN" w:bidi="ar-SA"/>
              </w:rPr>
              <w:t>供应商同意按照《广东省医疗责任保险赔偿处理办法（暂行）》（详见附件2）执行理赔。</w:t>
            </w:r>
          </w:p>
        </w:tc>
      </w:tr>
    </w:tbl>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2" w:firstLineChars="200"/>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）赔偿范围</w:t>
      </w:r>
    </w:p>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经济赔偿责任参照《民法典》、《最高人民法院关于审理人身损害赔偿案件适用法律若干问题的解释》、《医疗纠纷预防和处理条例》、《医疗事故处理条例》规定计算，具体赔偿项目包括但不限于以下项目：</w:t>
      </w:r>
    </w:p>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患者因就医治疗支出的各项费用以及因误工减少的收入，包括医疗费、误工费、护理费、交通费、住宿费、住院伙食补助费、必要的营养费；</w:t>
      </w:r>
    </w:p>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因伤致残的，其因增加生活上需要所支出的必要费用以及因丧失劳动能力导致的收入损失，包括残疾赔偿金、残疾辅助器具费、被扶养人生活费，以及因康复护理、继续治疗实际发生的必要的康复费、护理费、后续治疗费；</w:t>
      </w:r>
    </w:p>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患者死亡的，除应当根据抢救治疗情况赔偿（1）规定的相关费用外，还应当赔偿丧葬费、被扶养人生活费、死亡补偿费以及受害人亲属办理丧葬事宜支出的交通费、住宿费和误工损失等其他合理费用；</w:t>
      </w:r>
    </w:p>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患者或其近亲属遭受精神损害，经仲裁机构或法院判决、仲裁、调解或经司法局备案的人民调解委员会酌情</w:t>
      </w:r>
      <w:r>
        <w:rPr>
          <w:rFonts w:hint="eastAsia" w:ascii="宋体" w:hAnsi="宋体" w:eastAsia="宋体" w:cs="宋体"/>
          <w:color w:val="auto"/>
          <w:sz w:val="21"/>
          <w:szCs w:val="21"/>
          <w:highlight w:val="none"/>
          <w:lang w:eastAsia="zh-CN"/>
        </w:rPr>
        <w:t>听证</w:t>
      </w:r>
      <w:r>
        <w:rPr>
          <w:rFonts w:hint="eastAsia" w:ascii="宋体" w:hAnsi="宋体" w:eastAsia="宋体" w:cs="宋体"/>
          <w:color w:val="auto"/>
          <w:sz w:val="21"/>
          <w:szCs w:val="21"/>
          <w:highlight w:val="none"/>
        </w:rPr>
        <w:t>所需支付的精神损害抚慰金。</w:t>
      </w:r>
    </w:p>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根据被保险人的请求，保险人应当直接向患方赔偿保险金。</w:t>
      </w:r>
    </w:p>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诉讼案件律师费用，保险人应当与被保险人及代理律师签署三方协议，由保险人直接支付给代理律师。</w:t>
      </w:r>
    </w:p>
    <w:p>
      <w:pPr>
        <w:pStyle w:val="2"/>
        <w:rPr>
          <w:rFonts w:hint="eastAsia" w:ascii="宋体" w:hAnsi="宋体" w:eastAsia="宋体" w:cs="宋体"/>
          <w:sz w:val="21"/>
          <w:szCs w:val="21"/>
        </w:rPr>
      </w:pP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理赔服务</w:t>
      </w:r>
    </w:p>
    <w:p>
      <w:pPr>
        <w:keepNext w:val="0"/>
        <w:keepLines w:val="0"/>
        <w:pageBreakBefore w:val="0"/>
        <w:widowControl w:val="0"/>
        <w:numPr>
          <w:ilvl w:val="0"/>
          <w:numId w:val="4"/>
        </w:numPr>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核损时效</w:t>
      </w:r>
    </w:p>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在收到被保险人所提交的完整索赔材料后，需在以下时效内做出理赔决定，实现快速理赔，若在以下时间内未提出异议的，即视为双方就赔偿结果达成一致。</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4349"/>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349"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索赔金额</w:t>
            </w:r>
          </w:p>
        </w:tc>
        <w:tc>
          <w:tcPr>
            <w:tcW w:w="2780"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应向被保险人提出异议的时间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49"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人民币 5 万元（含 5 万元）以下</w:t>
            </w:r>
          </w:p>
        </w:tc>
        <w:tc>
          <w:tcPr>
            <w:tcW w:w="2780"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4349"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人民币5—30万元（不含5万元，含30万元）</w:t>
            </w:r>
          </w:p>
        </w:tc>
        <w:tc>
          <w:tcPr>
            <w:tcW w:w="2780"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349"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 万元以上</w:t>
            </w:r>
          </w:p>
        </w:tc>
        <w:tc>
          <w:tcPr>
            <w:tcW w:w="2780"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10个工作日内</w:t>
            </w:r>
          </w:p>
        </w:tc>
      </w:tr>
    </w:tbl>
    <w:p>
      <w:pPr>
        <w:keepNext w:val="0"/>
        <w:keepLines w:val="0"/>
        <w:pageBreakBefore w:val="0"/>
        <w:widowControl w:val="0"/>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4"/>
        </w:numPr>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理赔时效</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4336"/>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336"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索赔金额</w:t>
            </w:r>
          </w:p>
        </w:tc>
        <w:tc>
          <w:tcPr>
            <w:tcW w:w="2793"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应向被保险人提出异议的时间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87"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36"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1万元以下（含1万元）</w:t>
            </w:r>
          </w:p>
        </w:tc>
        <w:tc>
          <w:tcPr>
            <w:tcW w:w="2793"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4336"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1—5万元（不含1万元，含5万元）</w:t>
            </w:r>
          </w:p>
        </w:tc>
        <w:tc>
          <w:tcPr>
            <w:tcW w:w="2793"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336"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5—20万元（不含5万元，含20万元）</w:t>
            </w:r>
          </w:p>
        </w:tc>
        <w:tc>
          <w:tcPr>
            <w:tcW w:w="2793"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4336"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20—30 万元（不含 20 万元，含 30 万元）</w:t>
            </w:r>
          </w:p>
        </w:tc>
        <w:tc>
          <w:tcPr>
            <w:tcW w:w="2793"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 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4336"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 万元以上（不含 30 万元）</w:t>
            </w:r>
          </w:p>
        </w:tc>
        <w:tc>
          <w:tcPr>
            <w:tcW w:w="2793" w:type="dxa"/>
            <w:vAlign w:val="center"/>
          </w:tcPr>
          <w:p>
            <w:pPr>
              <w:keepNext w:val="0"/>
              <w:keepLines w:val="0"/>
              <w:pageBreakBefore w:val="0"/>
              <w:widowControl w:val="0"/>
              <w:tabs>
                <w:tab w:val="left" w:pos="360"/>
              </w:tabs>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 个工作日内</w:t>
            </w:r>
          </w:p>
        </w:tc>
      </w:tr>
    </w:tbl>
    <w:p>
      <w:pPr>
        <w:pStyle w:val="3"/>
        <w:rPr>
          <w:rFonts w:hint="eastAsia" w:ascii="宋体" w:hAnsi="宋体" w:eastAsia="宋体" w:cs="宋体"/>
          <w:sz w:val="21"/>
          <w:szCs w:val="21"/>
        </w:rPr>
      </w:pPr>
    </w:p>
    <w:p>
      <w:pPr>
        <w:keepNext w:val="0"/>
        <w:keepLines w:val="0"/>
        <w:pageBreakBefore w:val="0"/>
        <w:widowControl w:val="0"/>
        <w:numPr>
          <w:ilvl w:val="0"/>
          <w:numId w:val="5"/>
        </w:numPr>
        <w:tabs>
          <w:tab w:val="left" w:pos="360"/>
        </w:tabs>
        <w:kinsoku/>
        <w:wordWrap/>
        <w:overflowPunct/>
        <w:topLinePunct w:val="0"/>
        <w:autoSpaceDE/>
        <w:autoSpaceDN/>
        <w:bidi w:val="0"/>
        <w:adjustRightInd/>
        <w:snapToGrid/>
        <w:spacing w:line="276" w:lineRule="auto"/>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其他相关要求</w:t>
      </w:r>
    </w:p>
    <w:p>
      <w:pPr>
        <w:pStyle w:val="2"/>
        <w:numPr>
          <w:ilvl w:val="0"/>
          <w:numId w:val="6"/>
        </w:numPr>
        <w:ind w:left="385" w:leftChars="0" w:firstLine="0" w:firstLineChars="0"/>
        <w:rPr>
          <w:rFonts w:hint="eastAsia"/>
          <w:sz w:val="21"/>
          <w:szCs w:val="21"/>
          <w:lang w:val="en-US" w:eastAsia="zh-CN"/>
        </w:rPr>
      </w:pPr>
      <w:r>
        <w:rPr>
          <w:rFonts w:hint="eastAsia"/>
          <w:sz w:val="21"/>
          <w:szCs w:val="21"/>
          <w:lang w:val="en-US" w:eastAsia="zh-CN"/>
        </w:rPr>
        <w:t>报价要求：供应商须按需求标准进行合理报价，并且给予适当的下浮。</w:t>
      </w:r>
    </w:p>
    <w:p>
      <w:pPr>
        <w:pStyle w:val="2"/>
        <w:numPr>
          <w:ilvl w:val="0"/>
          <w:numId w:val="6"/>
        </w:numPr>
        <w:ind w:left="385"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认可被保险人通过依法设立人民调解委员会达成的调解协议作为保险理赔依据，通过</w:t>
      </w:r>
    </w:p>
    <w:p>
      <w:pPr>
        <w:pStyle w:val="2"/>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人民调解委员会达成人民币20万元以内的调解协议，保险必须依据调解协议和保险合同约定负责赔偿给医疗机构或患方。</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3、根据广东省卫健委《关于进一步做好医疗责任保险投保工作的通知》 （粤卫办函〔2011〕129号），目前广东省承担医疗责任保险全省统保的保险经纪人为江泰保险经纪股份有限公司，本项目我院已聘请江泰保险经纪股份有限公司广东营业部作为保险经纪人，为采购人及各被保险人的本项目提供保险经纪服务。投标人及最终确定的承保人尊重江泰保险经纪股份有限公司广东营业部代表采购人所提涉保要求，尊重其所发挥的督促、协调作用，并认为保险经纪人能为保险双方的顺利合作起到应有的积极作用；供应商承诺依法向保险经纪人支付保险经纪佣金，保险经纪佣金比例参照广东省医疗责任保险示范项目的比例（含税保费金额25%），中标后，供应商与保险经纪人之间的权责、义务等由保险经纪人与之签订。</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接受中标单位按照中国保险监督管理委员会《关于加强财产保险共保业务管理的通知》要求安排共保及再保，但中标单位必须作为主承保人负责承保、理赔服务，不得将承保、理赔服务分配其他参与共保公司服务。</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7"/>
        </w:numPr>
        <w:tabs>
          <w:tab w:val="left" w:pos="360"/>
        </w:tabs>
        <w:kinsoku/>
        <w:wordWrap/>
        <w:overflowPunct/>
        <w:topLinePunct w:val="0"/>
        <w:autoSpaceDE/>
        <w:autoSpaceDN/>
        <w:bidi w:val="0"/>
        <w:adjustRightInd/>
        <w:snapToGrid/>
        <w:spacing w:line="276" w:lineRule="auto"/>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特别约定</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bookmarkStart w:id="42" w:name="_Toc32337"/>
      <w:bookmarkStart w:id="43" w:name="_Toc324192720"/>
      <w:r>
        <w:rPr>
          <w:rFonts w:hint="eastAsia" w:ascii="宋体" w:hAnsi="宋体" w:eastAsia="宋体" w:cs="宋体"/>
          <w:color w:val="auto"/>
          <w:sz w:val="21"/>
          <w:szCs w:val="21"/>
          <w:highlight w:val="none"/>
          <w:lang w:val="en-US" w:eastAsia="zh-CN"/>
        </w:rPr>
        <w:t>为高效化解医疗纠纷案件，充分保障医疗机构的正常诊疗秩序，并体现构建和谐社会之精神，对于赔偿金额（不含法律费用）在人民币1万元以下（含1万元）的医疗纠纷案件，以及对于被保险人或者其医务人员在从事与其资格相符的诊疗活动中存在过错但没有造成患者人身损害的情况，赔偿金额（不含法律费用）在人民币1万元以下（含1万元）的医疗纠纷案件，被保险人完全有权自主处理与患方达成赔偿协议，被保险人与患方达成赔偿协议后，保险人应根据此赔偿协议进行保险赔付。每个保险年度被保险人通过自主处理此类案件的赔偿金额（不含法律费用）累计不超过应缴保费的10%，自主处理次数不限。</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在保险期限内发生的保险事故结案后，患方如因同一事故再次提起赔偿请求（包含但不限于请求赔偿后续治疗费、后续护理费等），经法院判决或者仲裁裁决确定应由被保险人继续承担的医疗损害赔偿费用以及因患方再次提起赔偿请求而产生的应由被保险人承担的法律费用，保险公司亦应负责赔偿。 </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投保人与保险人协商一致，保险人同意本保险采用医务人员不记名的方式投保，被保险人的投保医务人员数达到实际应投保医务人员数的90%以上（含90%）属于足额投保，低于90%的属不足额投保，当被保险人的实际医务人员数变更（增加或减少了投保医务人员数超过的10%）时，被保险人应及时向保险人申报变更后的医务人员数，保险人根据实际增加或减少的医务人员数以及保险期间的剩余期限增加或退还相应的保险费。</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ind w:firstLine="630" w:firstLineChars="3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被保险人应在保险合同成立后30日内提供医务人员数的清单（医院需盖章）供保险人进行核查，该清单仅供保险人核查人数。如保险公司在收到医务人员清单后7个工作日内无异议，则视为足额投保。  </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投保人与保险人协商一致，在保险单中列明的保险期间或追溯期内，在被保险人处进行实习的医学生和试用期医学毕业生，经临床带教教师或者指导医师同意并按照临床带教教师或者指导医师的要求在从事诊疗活动过程中造成患者人身损害的，患者或者其近亲属或者其代理人在保险期间内首次向被保险人提出损害赔偿请求，依照中华人民共和国法律应由被保险人承担经济赔偿责任的，保险人按照本保险合同约定负责赔偿。</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投保人与保险人协商一致，在保险单中列明的保险期间或者追溯期内，在被保险人处进修的医务人员，经指导医师同意并按照指导医师的要求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经投保人与保险人协商一致，保险人同意将被保险人根据外聘合同聘用以及根据卫生行政部门制定的帮扶政策聘用的外聘医务人员、或正常会诊的非本医疗机构的医务人员视为被保险人的医务人员。</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保险单中列明的保险期间或者追溯期内，按照被保险人轮岗管理制度要求的医务人员，在轮岗期间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被保险人聘用的医务人员，在注册或变更注册期间或根据卫生行政部门规定及要求到指定区域范围内从事诊疗活动发生的保险事故，属于保险责任范围。</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被保险人因医疗纠纷处理（包含自行和解和人民调解）过程中，为了查明医疗纠纷原因和损失产生的鉴定费以及其他必要的、合理的费用，保险人按本保险合同约定的法律费用限额内负责赔偿。医疗纠纷是指医患双方因诊疗活动引发的争议。</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被保险人向保险人请求赔偿保险金的诉讼时效期间为三年，自被保险人对第三者应负的赔偿责任确定之日起计算。</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本保险合同约定的医患纠纷人民调解委员会指广东和谐医患纠纷人民调解委员会及其各地市医患纠纷人民调解委员会。</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保险合同所称的“诊疗活动”，也包括在本保险合同中列明的保险期间或者追溯期内，被保险人或者其医务人员在被保险人自营平台从事与其资格相符的互联网诊疗活动中造成患者人身损害，患者或者其近亲属或者其代理人在保险期间内首次向被保险人提出损害赔偿请求，依照中华人民共和国法律（不包括港、澳、台地区法律）应由被保险人承担经济赔偿责任，保险人按照本保险合同约定负责赔偿。</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276" w:lineRule="auto"/>
        <w:ind w:left="210" w:leftChars="0" w:firstLine="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确定患方首次向被保险人提出损害赔偿请求的时间规则：</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（1）患者接受诊疗活动导致人身损害的时间、患方首次投诉时间和医疗机构报案时间在同一保险期间内的案件，以医疗机构报案时填写的时间为准。</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患者接受诊疗活动导致人身损害的时间、患方首次投诉时间和医疗机构报案时间不在同一保险期内的案件，以下述材料记载时间中最早的日期为准：患方向医疗机构或者行政部门书面投诉材料日期(患方或患方代理人签字）、司法鉴定（含尸检和医疗事故鉴定）的申请日期、人民调解申请日期、法院传票通知日期等与纠纷相关书面材料。</w:t>
      </w:r>
    </w:p>
    <w:p>
      <w:pPr>
        <w:pStyle w:val="2"/>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rPr>
          <w:rFonts w:hint="eastAsia" w:ascii="宋体" w:hAnsi="宋体" w:eastAsia="宋体" w:cs="宋体"/>
          <w:color w:val="auto"/>
          <w:sz w:val="21"/>
          <w:szCs w:val="21"/>
          <w:highlight w:val="none"/>
          <w:lang w:val="en-US" w:eastAsia="zh-CN"/>
        </w:rPr>
      </w:pPr>
    </w:p>
    <w:p>
      <w:pPr>
        <w:pStyle w:val="3"/>
        <w:ind w:left="0" w:leftChars="0" w:firstLine="0" w:firstLineChars="0"/>
        <w:rPr>
          <w:rFonts w:hint="eastAsia" w:ascii="宋体" w:hAnsi="宋体" w:eastAsia="宋体" w:cs="宋体"/>
          <w:color w:val="auto"/>
          <w:sz w:val="21"/>
          <w:szCs w:val="21"/>
          <w:highlight w:val="none"/>
          <w:lang w:val="en-US" w:eastAsia="zh-CN"/>
        </w:rPr>
      </w:pPr>
    </w:p>
    <w:p>
      <w:pPr>
        <w:jc w:val="center"/>
        <w:rPr>
          <w:rFonts w:hint="eastAsia" w:ascii="宋体" w:hAnsi="宋体" w:eastAsia="宋体" w:cs="宋体"/>
          <w:b/>
          <w:bCs/>
          <w:color w:val="auto"/>
          <w:kern w:val="0"/>
          <w:szCs w:val="21"/>
          <w:highlight w:val="none"/>
          <w:lang w:eastAsia="zh-CN"/>
        </w:rPr>
      </w:pPr>
    </w:p>
    <w:p>
      <w:pPr>
        <w:jc w:val="left"/>
        <w:rPr>
          <w:rFonts w:hint="eastAsia" w:ascii="微软雅黑" w:hAnsi="微软雅黑" w:eastAsia="微软雅黑" w:cs="微软雅黑"/>
          <w:b/>
          <w:bCs/>
          <w:color w:val="auto"/>
          <w:sz w:val="36"/>
          <w:szCs w:val="36"/>
          <w:highlight w:val="none"/>
        </w:rPr>
      </w:pP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p>
    <w:p>
      <w:pPr>
        <w:jc w:val="center"/>
        <w:rPr>
          <w:rFonts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广东省医疗机构医疗责任保险统保条款</w:t>
      </w: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总则</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 xml:space="preserve">第一条  </w:t>
      </w:r>
      <w:r>
        <w:rPr>
          <w:rFonts w:ascii="宋体" w:hAnsi="宋体"/>
          <w:color w:val="000000" w:themeColor="text1"/>
          <w:szCs w:val="21"/>
          <w14:textFill>
            <w14:solidFill>
              <w14:schemeClr w14:val="tx1"/>
            </w14:solidFill>
          </w14:textFill>
        </w:rPr>
        <w:t>本保险合同由保险合同文本、保险条款、投保单、批单、补充协议以及其他文件组成。凡涉及本保险合同的约定，均应采用书面形式。</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 xml:space="preserve">第二条  </w:t>
      </w:r>
      <w:r>
        <w:rPr>
          <w:rFonts w:hint="eastAsia" w:ascii="宋体" w:hAnsi="宋体" w:cs="宋体"/>
          <w:color w:val="000000" w:themeColor="text1"/>
          <w:szCs w:val="21"/>
          <w14:textFill>
            <w14:solidFill>
              <w14:schemeClr w14:val="tx1"/>
            </w14:solidFill>
          </w14:textFill>
        </w:rPr>
        <w:t>凡在中国境内</w:t>
      </w:r>
      <w:r>
        <w:rPr>
          <w:rFonts w:hint="eastAsia" w:ascii="宋体" w:hAnsi="宋体"/>
          <w:color w:val="000000" w:themeColor="text1"/>
          <w:szCs w:val="21"/>
          <w14:textFill>
            <w14:solidFill>
              <w14:schemeClr w14:val="tx1"/>
            </w14:solidFill>
          </w14:textFill>
        </w:rPr>
        <w:t>（不包括港澳台地区，下同）</w:t>
      </w:r>
      <w:r>
        <w:rPr>
          <w:rFonts w:hint="eastAsia" w:ascii="宋体" w:hAnsi="宋体" w:cs="宋体"/>
          <w:color w:val="000000" w:themeColor="text1"/>
          <w:szCs w:val="21"/>
          <w14:textFill>
            <w14:solidFill>
              <w14:schemeClr w14:val="tx1"/>
            </w14:solidFill>
          </w14:textFill>
        </w:rPr>
        <w:t>依照中华人民共和国法律（不包括香港、澳门及台湾地区法律，下同）</w:t>
      </w:r>
      <w:r>
        <w:rPr>
          <w:rFonts w:ascii="宋体" w:hAnsi="宋体"/>
          <w:color w:val="000000" w:themeColor="text1"/>
          <w:szCs w:val="21"/>
          <w14:textFill>
            <w14:solidFill>
              <w14:schemeClr w14:val="tx1"/>
            </w14:solidFill>
          </w14:textFill>
        </w:rPr>
        <w:t>设立、有固定场所并取得《医疗机构执业许可证》的医疗机构（以下简称“医疗机构”），均可作为本保险合同的投保人、被保险人。</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保险责任</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 xml:space="preserve">第三条  </w:t>
      </w:r>
      <w:r>
        <w:rPr>
          <w:rFonts w:ascii="宋体" w:hAnsi="宋体"/>
          <w:color w:val="000000" w:themeColor="text1"/>
          <w:szCs w:val="21"/>
          <w14:textFill>
            <w14:solidFill>
              <w14:schemeClr w14:val="tx1"/>
            </w14:solidFill>
          </w14:textFill>
        </w:rPr>
        <w:t>在本保险合同中列明的保险期间或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追溯期内，被保险人</w:t>
      </w:r>
      <w:r>
        <w:rPr>
          <w:rFonts w:hint="eastAsia" w:ascii="宋体" w:hAnsi="宋体"/>
          <w:color w:val="000000" w:themeColor="text1"/>
          <w:szCs w:val="21"/>
          <w14:textFill>
            <w14:solidFill>
              <w14:schemeClr w14:val="tx1"/>
            </w14:solidFill>
          </w14:textFill>
        </w:rPr>
        <w:t>或者</w:t>
      </w:r>
      <w:r>
        <w:rPr>
          <w:rFonts w:ascii="宋体" w:hAnsi="宋体"/>
          <w:color w:val="000000" w:themeColor="text1"/>
          <w:szCs w:val="21"/>
          <w14:textFill>
            <w14:solidFill>
              <w14:schemeClr w14:val="tx1"/>
            </w14:solidFill>
          </w14:textFill>
        </w:rPr>
        <w:t>其医务人员在从事与其资格相符的诊疗活动中</w:t>
      </w:r>
      <w:r>
        <w:rPr>
          <w:rFonts w:hint="eastAsia" w:ascii="宋体" w:hAnsi="宋体"/>
          <w:color w:val="000000" w:themeColor="text1"/>
          <w:szCs w:val="21"/>
          <w14:textFill>
            <w14:solidFill>
              <w14:schemeClr w14:val="tx1"/>
            </w14:solidFill>
          </w14:textFill>
        </w:rPr>
        <w:t>发生以下情形之一</w:t>
      </w:r>
      <w:r>
        <w:rPr>
          <w:rFonts w:ascii="宋体" w:hAnsi="宋体"/>
          <w:color w:val="000000" w:themeColor="text1"/>
          <w:szCs w:val="21"/>
          <w14:textFill>
            <w14:solidFill>
              <w14:schemeClr w14:val="tx1"/>
            </w14:solidFill>
          </w14:textFill>
        </w:rPr>
        <w:t>造成患者人身损害，患者或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其近亲属或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其代理人在保险期间内首次向被保险人提出损害赔偿请求，依照中华人民共和国法律（不包括港</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澳</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台地区法律）应由被保险人承担</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经济赔偿责任，保险人按照本保险合同约定负责赔偿：</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（一）患者在诊疗活动中受到损害，被保险人</w:t>
      </w:r>
      <w:r>
        <w:rPr>
          <w:rFonts w:hint="eastAsia" w:ascii="宋体" w:hAnsi="宋体"/>
          <w:color w:val="000000" w:themeColor="text1"/>
          <w:szCs w:val="21"/>
          <w14:textFill>
            <w14:solidFill>
              <w14:schemeClr w14:val="tx1"/>
            </w14:solidFill>
          </w14:textFill>
        </w:rPr>
        <w:t>或者</w:t>
      </w:r>
      <w:r>
        <w:rPr>
          <w:rFonts w:ascii="宋体" w:hAnsi="宋体"/>
          <w:color w:val="000000" w:themeColor="text1"/>
          <w:szCs w:val="21"/>
          <w14:textFill>
            <w14:solidFill>
              <w14:schemeClr w14:val="tx1"/>
            </w14:solidFill>
          </w14:textFill>
        </w:rPr>
        <w:t>其医务人员有过错的，包括但不限于以下情形：</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 医务人员在诊疗活动中未向患者或者其近亲属说明病情和医疗措施，需要实施手术、特殊检查、特殊治疗的，医务人员未及时向患者说明医疗风险、替代医疗方案等情况并取得其</w:t>
      </w:r>
      <w:r>
        <w:rPr>
          <w:rFonts w:hint="eastAsia" w:ascii="宋体" w:hAnsi="宋体"/>
          <w:color w:val="000000" w:themeColor="text1"/>
          <w:szCs w:val="21"/>
          <w14:textFill>
            <w14:solidFill>
              <w14:schemeClr w14:val="tx1"/>
            </w14:solidFill>
          </w14:textFill>
        </w:rPr>
        <w:t>明确</w:t>
      </w:r>
      <w:r>
        <w:rPr>
          <w:rFonts w:ascii="宋体" w:hAnsi="宋体"/>
          <w:color w:val="000000" w:themeColor="text1"/>
          <w:szCs w:val="21"/>
          <w14:textFill>
            <w14:solidFill>
              <w14:schemeClr w14:val="tx1"/>
            </w14:solidFill>
          </w14:textFill>
        </w:rPr>
        <w:t>同意的；</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 医务人员在诊疗活动中未尽到与当时的医疗水平相应的诊疗义务；</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 患者或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其近亲属不配合医疗机构进行符合诊疗护理规范的诊疗活动；</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被保险人非故意违反有关诊疗护理规范的。</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（二）因药品、消毒</w:t>
      </w:r>
      <w:r>
        <w:rPr>
          <w:rFonts w:hint="eastAsia" w:ascii="宋体" w:hAnsi="宋体"/>
          <w:color w:val="000000" w:themeColor="text1"/>
          <w:szCs w:val="21"/>
          <w14:textFill>
            <w14:solidFill>
              <w14:schemeClr w14:val="tx1"/>
            </w14:solidFill>
          </w14:textFill>
        </w:rPr>
        <w:t>产品</w:t>
      </w:r>
      <w:r>
        <w:rPr>
          <w:rFonts w:ascii="宋体" w:hAnsi="宋体"/>
          <w:color w:val="000000" w:themeColor="text1"/>
          <w:szCs w:val="21"/>
          <w14:textFill>
            <w14:solidFill>
              <w14:schemeClr w14:val="tx1"/>
            </w14:solidFill>
          </w14:textFill>
        </w:rPr>
        <w:t>、医疗器械的缺陷</w:t>
      </w:r>
      <w:r>
        <w:rPr>
          <w:rFonts w:hint="eastAsia" w:ascii="宋体" w:hAnsi="宋体" w:cs="宋体"/>
          <w:color w:val="000000" w:themeColor="text1"/>
          <w:szCs w:val="21"/>
          <w14:textFill>
            <w14:solidFill>
              <w14:schemeClr w14:val="tx1"/>
            </w14:solidFill>
          </w14:textFill>
        </w:rPr>
        <w:t>或者输入不合格的血液</w:t>
      </w:r>
      <w:r>
        <w:rPr>
          <w:rFonts w:ascii="宋体" w:hAnsi="宋体"/>
          <w:color w:val="000000" w:themeColor="text1"/>
          <w:szCs w:val="21"/>
          <w14:textFill>
            <w14:solidFill>
              <w14:schemeClr w14:val="tx1"/>
            </w14:solidFill>
          </w14:textFill>
        </w:rPr>
        <w:t>造成患者损害,</w:t>
      </w:r>
      <w:r>
        <w:rPr>
          <w:rFonts w:hint="eastAsia" w:ascii="宋体" w:hAnsi="宋体"/>
          <w:color w:val="000000" w:themeColor="text1"/>
          <w:szCs w:val="21"/>
          <w14:textFill>
            <w14:solidFill>
              <w14:schemeClr w14:val="tx1"/>
            </w14:solidFill>
          </w14:textFill>
        </w:rPr>
        <w:t>患者</w:t>
      </w:r>
      <w:r>
        <w:rPr>
          <w:rFonts w:ascii="宋体" w:hAnsi="宋体"/>
          <w:color w:val="000000" w:themeColor="text1"/>
          <w:szCs w:val="21"/>
          <w14:textFill>
            <w14:solidFill>
              <w14:schemeClr w14:val="tx1"/>
            </w14:solidFill>
          </w14:textFill>
        </w:rPr>
        <w:t>向</w:t>
      </w:r>
      <w:r>
        <w:rPr>
          <w:rFonts w:hint="eastAsia" w:ascii="宋体" w:hAnsi="宋体"/>
          <w:color w:val="000000" w:themeColor="text1"/>
          <w:szCs w:val="21"/>
          <w14:textFill>
            <w14:solidFill>
              <w14:schemeClr w14:val="tx1"/>
            </w14:solidFill>
          </w14:textFill>
        </w:rPr>
        <w:t>被保险人</w:t>
      </w:r>
      <w:r>
        <w:rPr>
          <w:rFonts w:ascii="宋体" w:hAnsi="宋体"/>
          <w:color w:val="000000" w:themeColor="text1"/>
          <w:szCs w:val="21"/>
          <w14:textFill>
            <w14:solidFill>
              <w14:schemeClr w14:val="tx1"/>
            </w14:solidFill>
          </w14:textFill>
        </w:rPr>
        <w:t>请求赔偿的。</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w:t>
      </w:r>
      <w:r>
        <w:rPr>
          <w:rFonts w:hint="eastAsia" w:ascii="宋体" w:hAnsi="宋体"/>
          <w:b/>
          <w:bCs/>
          <w:color w:val="000000" w:themeColor="text1"/>
          <w:szCs w:val="21"/>
          <w14:textFill>
            <w14:solidFill>
              <w14:schemeClr w14:val="tx1"/>
            </w14:solidFill>
          </w14:textFill>
        </w:rPr>
        <w:t>四</w:t>
      </w:r>
      <w:r>
        <w:rPr>
          <w:rFonts w:ascii="宋体" w:hAnsi="宋体"/>
          <w:b/>
          <w:bCs/>
          <w:color w:val="000000" w:themeColor="text1"/>
          <w:szCs w:val="21"/>
          <w14:textFill>
            <w14:solidFill>
              <w14:schemeClr w14:val="tx1"/>
            </w14:solidFill>
          </w14:textFill>
        </w:rPr>
        <w:t xml:space="preserve">条  </w:t>
      </w:r>
      <w:r>
        <w:rPr>
          <w:rFonts w:hint="eastAsia" w:ascii="宋体" w:hAnsi="宋体" w:cs="宋体"/>
          <w:color w:val="000000" w:themeColor="text1"/>
          <w:szCs w:val="21"/>
          <w14:textFill>
            <w14:solidFill>
              <w14:schemeClr w14:val="tx1"/>
            </w14:solidFill>
          </w14:textFill>
        </w:rPr>
        <w:t>发生可能引起本保险合同项下赔偿的情形时，</w:t>
      </w:r>
      <w:r>
        <w:rPr>
          <w:rFonts w:ascii="宋体" w:hAnsi="宋体"/>
          <w:color w:val="000000" w:themeColor="text1"/>
          <w:szCs w:val="21"/>
          <w14:textFill>
            <w14:solidFill>
              <w14:schemeClr w14:val="tx1"/>
            </w14:solidFill>
          </w14:textFill>
        </w:rPr>
        <w:t>被保险人</w:t>
      </w:r>
      <w:r>
        <w:rPr>
          <w:rFonts w:hint="eastAsia" w:ascii="宋体" w:hAnsi="宋体" w:cs="宋体"/>
          <w:color w:val="000000" w:themeColor="text1"/>
          <w:szCs w:val="21"/>
          <w14:textFill>
            <w14:solidFill>
              <w14:schemeClr w14:val="tx1"/>
            </w14:solidFill>
          </w14:textFill>
        </w:rPr>
        <w:t>作为被告或者第三人</w:t>
      </w:r>
      <w:r>
        <w:rPr>
          <w:rFonts w:ascii="宋体" w:hAnsi="宋体"/>
          <w:color w:val="000000" w:themeColor="text1"/>
          <w:szCs w:val="21"/>
          <w14:textFill>
            <w14:solidFill>
              <w14:schemeClr w14:val="tx1"/>
            </w14:solidFill>
          </w14:textFill>
        </w:rPr>
        <w:t>被提起</w:t>
      </w:r>
      <w:r>
        <w:rPr>
          <w:rFonts w:hint="eastAsia" w:ascii="宋体" w:hAnsi="宋体" w:cs="宋体"/>
          <w:color w:val="000000" w:themeColor="text1"/>
          <w:szCs w:val="21"/>
          <w14:textFill>
            <w14:solidFill>
              <w14:schemeClr w14:val="tx1"/>
            </w14:solidFill>
          </w14:textFill>
        </w:rPr>
        <w:t>诉讼或者仲裁</w:t>
      </w:r>
      <w:r>
        <w:rPr>
          <w:rFonts w:ascii="宋体" w:hAnsi="宋体"/>
          <w:color w:val="000000" w:themeColor="text1"/>
          <w:szCs w:val="21"/>
          <w14:textFill>
            <w14:solidFill>
              <w14:schemeClr w14:val="tx1"/>
            </w14:solidFill>
          </w14:textFill>
        </w:rPr>
        <w:t>，对</w:t>
      </w:r>
      <w:r>
        <w:rPr>
          <w:rFonts w:hint="eastAsia" w:ascii="宋体" w:hAnsi="宋体"/>
          <w:color w:val="000000" w:themeColor="text1"/>
          <w:szCs w:val="21"/>
          <w14:textFill>
            <w14:solidFill>
              <w14:schemeClr w14:val="tx1"/>
            </w14:solidFill>
          </w14:textFill>
        </w:rPr>
        <w:t>于</w:t>
      </w:r>
      <w:r>
        <w:rPr>
          <w:rFonts w:ascii="宋体" w:hAnsi="宋体"/>
          <w:color w:val="000000" w:themeColor="text1"/>
          <w:szCs w:val="21"/>
          <w14:textFill>
            <w14:solidFill>
              <w14:schemeClr w14:val="tx1"/>
            </w14:solidFill>
          </w14:textFill>
        </w:rPr>
        <w:t>应由被保险人支付的</w:t>
      </w:r>
      <w:r>
        <w:rPr>
          <w:rFonts w:hint="eastAsia" w:ascii="宋体" w:hAnsi="宋体"/>
          <w:color w:val="000000" w:themeColor="text1"/>
          <w:szCs w:val="21"/>
          <w14:textFill>
            <w14:solidFill>
              <w14:schemeClr w14:val="tx1"/>
            </w14:solidFill>
          </w14:textFill>
        </w:rPr>
        <w:t>法律费用：包括</w:t>
      </w:r>
      <w:r>
        <w:rPr>
          <w:rFonts w:ascii="宋体" w:hAnsi="宋体"/>
          <w:color w:val="000000" w:themeColor="text1"/>
          <w:szCs w:val="21"/>
          <w14:textFill>
            <w14:solidFill>
              <w14:schemeClr w14:val="tx1"/>
            </w14:solidFill>
          </w14:textFill>
        </w:rPr>
        <w:t>仲裁或诉讼费用（包括可能产生的案件受理费、勘验费、鉴定费、律师费、解剖费等）以及其他必要的、合理的</w:t>
      </w:r>
      <w:r>
        <w:rPr>
          <w:rFonts w:hint="eastAsia" w:ascii="宋体" w:hAnsi="宋体"/>
          <w:color w:val="000000" w:themeColor="text1"/>
          <w:szCs w:val="21"/>
          <w14:textFill>
            <w14:solidFill>
              <w14:schemeClr w14:val="tx1"/>
            </w14:solidFill>
          </w14:textFill>
        </w:rPr>
        <w:t>法律</w:t>
      </w:r>
      <w:r>
        <w:rPr>
          <w:rFonts w:ascii="宋体" w:hAnsi="宋体"/>
          <w:color w:val="000000" w:themeColor="text1"/>
          <w:szCs w:val="21"/>
          <w14:textFill>
            <w14:solidFill>
              <w14:schemeClr w14:val="tx1"/>
            </w14:solidFill>
          </w14:textFill>
        </w:rPr>
        <w:t>费用（包括代表被保险人参加医疗损害鉴定或医疗事故鉴定或庭审的人员因参加上述活动而产生的差旅费以及专家咨询费），保险人按照本保险合同约定负责赔偿。</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责任免除</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w:t>
      </w:r>
      <w:r>
        <w:rPr>
          <w:rFonts w:hint="eastAsia" w:ascii="宋体" w:hAnsi="宋体"/>
          <w:b/>
          <w:bCs/>
          <w:color w:val="000000" w:themeColor="text1"/>
          <w:szCs w:val="21"/>
          <w14:textFill>
            <w14:solidFill>
              <w14:schemeClr w14:val="tx1"/>
            </w14:solidFill>
          </w14:textFill>
        </w:rPr>
        <w:t>五</w:t>
      </w:r>
      <w:r>
        <w:rPr>
          <w:rFonts w:ascii="宋体" w:hAnsi="宋体"/>
          <w:b/>
          <w:bCs/>
          <w:color w:val="000000" w:themeColor="text1"/>
          <w:szCs w:val="21"/>
          <w14:textFill>
            <w14:solidFill>
              <w14:schemeClr w14:val="tx1"/>
            </w14:solidFill>
          </w14:textFill>
        </w:rPr>
        <w:t>条  下列原因造成的损失、费用和责任，保险人不负责赔偿：</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（一）被保险人或其医务人员的故意行为</w:t>
      </w:r>
      <w:r>
        <w:rPr>
          <w:rFonts w:hint="eastAsia" w:ascii="宋体" w:hAnsi="宋体"/>
          <w:b/>
          <w:bCs/>
          <w:color w:val="000000" w:themeColor="text1"/>
          <w:szCs w:val="21"/>
          <w14:textFill>
            <w14:solidFill>
              <w14:schemeClr w14:val="tx1"/>
            </w14:solidFill>
          </w14:textFill>
        </w:rPr>
        <w:t>、犯罪行为</w:t>
      </w:r>
      <w:r>
        <w:rPr>
          <w:rFonts w:ascii="宋体" w:hAnsi="宋体"/>
          <w:b/>
          <w:bCs/>
          <w:color w:val="000000" w:themeColor="text1"/>
          <w:szCs w:val="21"/>
          <w14:textFill>
            <w14:solidFill>
              <w14:schemeClr w14:val="tx1"/>
            </w14:solidFill>
          </w14:textFill>
        </w:rPr>
        <w:t>；</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（二）被保险人的</w:t>
      </w:r>
      <w:bookmarkStart w:id="44" w:name="_Hlk74819367"/>
      <w:r>
        <w:rPr>
          <w:rFonts w:ascii="宋体" w:hAnsi="宋体"/>
          <w:b/>
          <w:bCs/>
          <w:color w:val="000000" w:themeColor="text1"/>
          <w:szCs w:val="21"/>
          <w14:textFill>
            <w14:solidFill>
              <w14:schemeClr w14:val="tx1"/>
            </w14:solidFill>
          </w14:textFill>
        </w:rPr>
        <w:t>医务人员在酒醉或药剂麻醉状态下进行诊疗活动</w:t>
      </w:r>
      <w:bookmarkEnd w:id="44"/>
      <w:r>
        <w:rPr>
          <w:rFonts w:ascii="宋体" w:hAnsi="宋体"/>
          <w:b/>
          <w:bCs/>
          <w:color w:val="000000" w:themeColor="text1"/>
          <w:szCs w:val="21"/>
          <w14:textFill>
            <w14:solidFill>
              <w14:schemeClr w14:val="tx1"/>
            </w14:solidFill>
          </w14:textFill>
        </w:rPr>
        <w:t>；</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（三）战争、敌对行为、军事行动、武装冲突、恐怖活动、罢工、骚乱、暴动；</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（四）核反应、核子辐射和放射性污染，但</w:t>
      </w:r>
      <w:r>
        <w:rPr>
          <w:rFonts w:hint="eastAsia" w:ascii="宋体" w:hAnsi="宋体" w:cs="宋体"/>
          <w:b/>
          <w:bCs/>
          <w:color w:val="000000" w:themeColor="text1"/>
          <w:szCs w:val="21"/>
          <w14:textFill>
            <w14:solidFill>
              <w14:schemeClr w14:val="tx1"/>
            </w14:solidFill>
          </w14:textFill>
        </w:rPr>
        <w:t>被保险人或者其医务人员</w:t>
      </w:r>
      <w:r>
        <w:rPr>
          <w:rFonts w:ascii="宋体" w:hAnsi="宋体"/>
          <w:b/>
          <w:bCs/>
          <w:color w:val="000000" w:themeColor="text1"/>
          <w:szCs w:val="21"/>
          <w14:textFill>
            <w14:solidFill>
              <w14:schemeClr w14:val="tx1"/>
            </w14:solidFill>
          </w14:textFill>
        </w:rPr>
        <w:t>使用放射器材进行治疗发生的赔偿责任不在此限；</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（五）地震、雷击、暴雨、洪水等自然灾害。</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w:t>
      </w:r>
      <w:r>
        <w:rPr>
          <w:rFonts w:hint="eastAsia" w:ascii="宋体" w:hAnsi="宋体"/>
          <w:b/>
          <w:bCs/>
          <w:color w:val="000000" w:themeColor="text1"/>
          <w:szCs w:val="21"/>
          <w14:textFill>
            <w14:solidFill>
              <w14:schemeClr w14:val="tx1"/>
            </w14:solidFill>
          </w14:textFill>
        </w:rPr>
        <w:t>六</w:t>
      </w:r>
      <w:r>
        <w:rPr>
          <w:rFonts w:ascii="宋体" w:hAnsi="宋体"/>
          <w:b/>
          <w:bCs/>
          <w:color w:val="000000" w:themeColor="text1"/>
          <w:szCs w:val="21"/>
          <w14:textFill>
            <w14:solidFill>
              <w14:schemeClr w14:val="tx1"/>
            </w14:solidFill>
          </w14:textFill>
        </w:rPr>
        <w:t>条  因下列情形造成患者损害，保险人不负责赔偿：</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（一）被保险人或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其医务人员从事与其资格不符的诊疗活动的；</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（二）被保险人或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其医务人员从事未经国家有关部门许可的诊疗活动的；</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（三）被保险人被吊销执业许可证或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其医务人员被取消执业资格或受停业、停职处分后仍继续进行诊疗活动的；</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（四）被保险人或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其医务人员使用未按国家有关规定获得批准的药品、消毒</w:t>
      </w:r>
      <w:r>
        <w:rPr>
          <w:rFonts w:hint="eastAsia" w:ascii="宋体" w:hAnsi="宋体"/>
          <w:b/>
          <w:bCs/>
          <w:color w:val="000000" w:themeColor="text1"/>
          <w:szCs w:val="21"/>
          <w14:textFill>
            <w14:solidFill>
              <w14:schemeClr w14:val="tx1"/>
            </w14:solidFill>
          </w14:textFill>
        </w:rPr>
        <w:t>产品</w:t>
      </w:r>
      <w:r>
        <w:rPr>
          <w:rFonts w:ascii="宋体" w:hAnsi="宋体"/>
          <w:b/>
          <w:bCs/>
          <w:color w:val="000000" w:themeColor="text1"/>
          <w:szCs w:val="21"/>
          <w14:textFill>
            <w14:solidFill>
              <w14:schemeClr w14:val="tx1"/>
            </w14:solidFill>
          </w14:textFill>
        </w:rPr>
        <w:t>和医疗器械的；</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（五）被保险人或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其医务人员在正当的诊疗护理、治疗范围外使用麻醉药品、医疗用毒性药品、精神药品和放射性药品的；</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（六）被保险人或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其医务人员为疫苗受种者接种疫苗导致不良反应所引起的索赔，但被保险人</w:t>
      </w:r>
      <w:r>
        <w:rPr>
          <w:rFonts w:hint="eastAsia" w:ascii="宋体" w:hAnsi="宋体"/>
          <w:b/>
          <w:bCs/>
          <w:color w:val="000000" w:themeColor="text1"/>
          <w:szCs w:val="21"/>
          <w14:textFill>
            <w14:solidFill>
              <w14:schemeClr w14:val="tx1"/>
            </w14:solidFill>
          </w14:textFill>
        </w:rPr>
        <w:t>或者</w:t>
      </w:r>
      <w:r>
        <w:rPr>
          <w:rFonts w:ascii="宋体" w:hAnsi="宋体"/>
          <w:b/>
          <w:bCs/>
          <w:color w:val="000000" w:themeColor="text1"/>
          <w:szCs w:val="21"/>
          <w14:textFill>
            <w14:solidFill>
              <w14:schemeClr w14:val="tx1"/>
            </w14:solidFill>
          </w14:textFill>
        </w:rPr>
        <w:t>其医务人员存在过错的情形不在此限；</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七</w:t>
      </w:r>
      <w:r>
        <w:rPr>
          <w:rFonts w:ascii="宋体" w:hAnsi="宋体"/>
          <w:b/>
          <w:bCs/>
          <w:color w:val="000000" w:themeColor="text1"/>
          <w:szCs w:val="21"/>
          <w14:textFill>
            <w14:solidFill>
              <w14:schemeClr w14:val="tx1"/>
            </w14:solidFill>
          </w14:textFill>
        </w:rPr>
        <w:t>）被保险人或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其医务人员采用的非为诊疗活动所必须的整形及美容行为引起的索赔；</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八</w:t>
      </w:r>
      <w:r>
        <w:rPr>
          <w:rFonts w:ascii="宋体" w:hAnsi="宋体"/>
          <w:b/>
          <w:bCs/>
          <w:color w:val="000000" w:themeColor="text1"/>
          <w:szCs w:val="21"/>
          <w14:textFill>
            <w14:solidFill>
              <w14:schemeClr w14:val="tx1"/>
            </w14:solidFill>
          </w14:textFill>
        </w:rPr>
        <w:t>）患者自杀的情形，但被保险人</w:t>
      </w:r>
      <w:r>
        <w:rPr>
          <w:rFonts w:hint="eastAsia" w:ascii="宋体" w:hAnsi="宋体"/>
          <w:b/>
          <w:bCs/>
          <w:color w:val="000000" w:themeColor="text1"/>
          <w:szCs w:val="21"/>
          <w14:textFill>
            <w14:solidFill>
              <w14:schemeClr w14:val="tx1"/>
            </w14:solidFill>
          </w14:textFill>
        </w:rPr>
        <w:t>或者</w:t>
      </w:r>
      <w:r>
        <w:rPr>
          <w:rFonts w:ascii="宋体" w:hAnsi="宋体"/>
          <w:b/>
          <w:bCs/>
          <w:color w:val="000000" w:themeColor="text1"/>
          <w:szCs w:val="21"/>
          <w14:textFill>
            <w14:solidFill>
              <w14:schemeClr w14:val="tx1"/>
            </w14:solidFill>
          </w14:textFill>
        </w:rPr>
        <w:t>其医务人员在诊疗活动中存在过错的情形不在此限。</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w:t>
      </w:r>
      <w:r>
        <w:rPr>
          <w:rFonts w:hint="eastAsia" w:ascii="宋体" w:hAnsi="宋体"/>
          <w:b/>
          <w:bCs/>
          <w:color w:val="000000" w:themeColor="text1"/>
          <w:szCs w:val="21"/>
          <w14:textFill>
            <w14:solidFill>
              <w14:schemeClr w14:val="tx1"/>
            </w14:solidFill>
          </w14:textFill>
        </w:rPr>
        <w:t>七</w:t>
      </w:r>
      <w:r>
        <w:rPr>
          <w:rFonts w:ascii="宋体" w:hAnsi="宋体"/>
          <w:b/>
          <w:bCs/>
          <w:color w:val="000000" w:themeColor="text1"/>
          <w:szCs w:val="21"/>
          <w14:textFill>
            <w14:solidFill>
              <w14:schemeClr w14:val="tx1"/>
            </w14:solidFill>
          </w14:textFill>
        </w:rPr>
        <w:t>条  下列损失、费用和责任，保险人也不负责赔偿：</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（一）与被保险人存在雇佣关系的员工的人身伤亡，但其作为患者接受治疗时导致的人身伤亡不在此限；</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（二）罚款、罚金或惩罚性赔款；</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（三）本保险合同中载明的免赔额、按免赔率折算的免赔额</w:t>
      </w:r>
      <w:r>
        <w:rPr>
          <w:rFonts w:hint="eastAsia" w:ascii="宋体" w:hAnsi="宋体"/>
          <w:b/>
          <w:bCs/>
          <w:color w:val="000000" w:themeColor="text1"/>
          <w:szCs w:val="21"/>
          <w14:textFill>
            <w14:solidFill>
              <w14:schemeClr w14:val="tx1"/>
            </w14:solidFill>
          </w14:textFill>
        </w:rPr>
        <w:t>；</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（四）被保险人应该承担的合同责任，但无合同存在时依法仍然应由被保险人承担的经济赔偿责任不在此限；</w:t>
      </w:r>
    </w:p>
    <w:p>
      <w:pPr>
        <w:adjustRightInd w:val="0"/>
        <w:snapToGrid w:val="0"/>
        <w:spacing w:after="156" w:afterLines="50"/>
        <w:ind w:firstLine="422" w:firstLineChars="200"/>
        <w:rPr>
          <w:sz w:val="11"/>
          <w:szCs w:val="4"/>
        </w:rPr>
      </w:pP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五</w:t>
      </w:r>
      <w:r>
        <w:rPr>
          <w:rFonts w:ascii="宋体" w:hAnsi="宋体"/>
          <w:b/>
          <w:bCs/>
          <w:color w:val="000000" w:themeColor="text1"/>
          <w:szCs w:val="21"/>
          <w14:textFill>
            <w14:solidFill>
              <w14:schemeClr w14:val="tx1"/>
            </w14:solidFill>
          </w14:textFill>
        </w:rPr>
        <w:t>）其他不属于本保险</w:t>
      </w:r>
      <w:r>
        <w:rPr>
          <w:rFonts w:hint="eastAsia" w:ascii="宋体" w:hAnsi="宋体"/>
          <w:b/>
          <w:bCs/>
          <w:color w:val="000000" w:themeColor="text1"/>
          <w:szCs w:val="21"/>
          <w14:textFill>
            <w14:solidFill>
              <w14:schemeClr w14:val="tx1"/>
            </w14:solidFill>
          </w14:textFill>
        </w:rPr>
        <w:t>合同</w:t>
      </w:r>
      <w:r>
        <w:rPr>
          <w:rFonts w:ascii="宋体" w:hAnsi="宋体"/>
          <w:b/>
          <w:bCs/>
          <w:color w:val="000000" w:themeColor="text1"/>
          <w:szCs w:val="21"/>
          <w14:textFill>
            <w14:solidFill>
              <w14:schemeClr w14:val="tx1"/>
            </w14:solidFill>
          </w14:textFill>
        </w:rPr>
        <w:t>责任范围内的损失、费用和责任，保险人不负责赔偿。</w:t>
      </w: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赔偿限额与免赔额（率）</w:t>
      </w:r>
    </w:p>
    <w:p>
      <w:pPr>
        <w:adjustRightInd w:val="0"/>
        <w:snapToGrid w:val="0"/>
        <w:spacing w:after="156" w:afterLines="50"/>
        <w:ind w:firstLine="422" w:firstLineChars="200"/>
        <w:rPr>
          <w:rFonts w:ascii="宋体" w:hAnsi="宋体"/>
          <w:b/>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w:t>
      </w:r>
      <w:r>
        <w:rPr>
          <w:rFonts w:hint="eastAsia" w:ascii="宋体" w:hAnsi="宋体"/>
          <w:b/>
          <w:bCs/>
          <w:color w:val="000000" w:themeColor="text1"/>
          <w:szCs w:val="21"/>
          <w14:textFill>
            <w14:solidFill>
              <w14:schemeClr w14:val="tx1"/>
            </w14:solidFill>
          </w14:textFill>
        </w:rPr>
        <w:t>八</w:t>
      </w:r>
      <w:r>
        <w:rPr>
          <w:rFonts w:ascii="宋体" w:hAnsi="宋体"/>
          <w:b/>
          <w:bCs/>
          <w:color w:val="000000" w:themeColor="text1"/>
          <w:szCs w:val="21"/>
          <w14:textFill>
            <w14:solidFill>
              <w14:schemeClr w14:val="tx1"/>
            </w14:solidFill>
          </w14:textFill>
        </w:rPr>
        <w:t xml:space="preserve">条  </w:t>
      </w:r>
      <w:r>
        <w:rPr>
          <w:rFonts w:ascii="宋体" w:hAnsi="宋体"/>
          <w:b/>
          <w:color w:val="000000" w:themeColor="text1"/>
          <w:szCs w:val="21"/>
          <w14:textFill>
            <w14:solidFill>
              <w14:schemeClr w14:val="tx1"/>
            </w14:solidFill>
          </w14:textFill>
        </w:rPr>
        <w:t>赔偿限额包括每次事故赔偿限额、累计赔偿限额、法律费用每次事故赔偿限额、法律费用累计赔偿限额。赔偿限额由投保人与保险人协商确定，并在</w:t>
      </w:r>
      <w:r>
        <w:rPr>
          <w:rFonts w:hint="eastAsia" w:ascii="宋体" w:hAnsi="宋体"/>
          <w:b/>
          <w:color w:val="000000" w:themeColor="text1"/>
          <w:szCs w:val="21"/>
          <w14:textFill>
            <w14:solidFill>
              <w14:schemeClr w14:val="tx1"/>
            </w14:solidFill>
          </w14:textFill>
        </w:rPr>
        <w:t>本</w:t>
      </w:r>
      <w:r>
        <w:rPr>
          <w:rFonts w:ascii="宋体" w:hAnsi="宋体"/>
          <w:b/>
          <w:color w:val="000000" w:themeColor="text1"/>
          <w:szCs w:val="21"/>
          <w14:textFill>
            <w14:solidFill>
              <w14:schemeClr w14:val="tx1"/>
            </w14:solidFill>
          </w14:textFill>
        </w:rPr>
        <w:t>保险合同中载明。</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w:t>
      </w:r>
      <w:r>
        <w:rPr>
          <w:rFonts w:hint="eastAsia" w:ascii="宋体" w:hAnsi="宋体"/>
          <w:b/>
          <w:bCs/>
          <w:color w:val="000000" w:themeColor="text1"/>
          <w:szCs w:val="21"/>
          <w14:textFill>
            <w14:solidFill>
              <w14:schemeClr w14:val="tx1"/>
            </w14:solidFill>
          </w14:textFill>
        </w:rPr>
        <w:t>九</w:t>
      </w:r>
      <w:r>
        <w:rPr>
          <w:rFonts w:ascii="宋体" w:hAnsi="宋体"/>
          <w:b/>
          <w:bCs/>
          <w:color w:val="000000" w:themeColor="text1"/>
          <w:szCs w:val="21"/>
          <w14:textFill>
            <w14:solidFill>
              <w14:schemeClr w14:val="tx1"/>
            </w14:solidFill>
          </w14:textFill>
        </w:rPr>
        <w:t xml:space="preserve">条  </w:t>
      </w:r>
      <w:r>
        <w:rPr>
          <w:rFonts w:ascii="宋体" w:hAnsi="宋体"/>
          <w:b/>
          <w:color w:val="000000" w:themeColor="text1"/>
          <w:szCs w:val="21"/>
          <w14:textFill>
            <w14:solidFill>
              <w14:schemeClr w14:val="tx1"/>
            </w14:solidFill>
          </w14:textFill>
        </w:rPr>
        <w:t>除另有约定外，本保险合同不设免赔额（率）。</w:t>
      </w: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保险期间与追溯期</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 xml:space="preserve">第十条  </w:t>
      </w:r>
      <w:r>
        <w:rPr>
          <w:rFonts w:ascii="宋体" w:hAnsi="宋体"/>
          <w:color w:val="000000" w:themeColor="text1"/>
          <w:szCs w:val="21"/>
          <w14:textFill>
            <w14:solidFill>
              <w14:schemeClr w14:val="tx1"/>
            </w14:solidFill>
          </w14:textFill>
        </w:rPr>
        <w:t>除另有约定外，保险期间为一年，以保险单载明的起讫时间为准。</w:t>
      </w:r>
      <w:bookmarkStart w:id="45" w:name="_Hlk74819655"/>
      <w:r>
        <w:rPr>
          <w:rFonts w:ascii="宋体" w:hAnsi="宋体"/>
          <w:b/>
          <w:color w:val="000000" w:themeColor="text1"/>
          <w:szCs w:val="21"/>
          <w14:textFill>
            <w14:solidFill>
              <w14:schemeClr w14:val="tx1"/>
            </w14:solidFill>
          </w14:textFill>
        </w:rPr>
        <w:t>本保险合同的追溯期由投保人与保险人协商确定并在保险单中载明，未载明的，无追溯期。</w:t>
      </w:r>
    </w:p>
    <w:bookmarkEnd w:id="45"/>
    <w:p>
      <w:pPr>
        <w:adjustRightInd w:val="0"/>
        <w:snapToGrid w:val="0"/>
        <w:spacing w:after="156" w:afterLines="50"/>
        <w:jc w:val="center"/>
        <w:rPr>
          <w:rFonts w:ascii="宋体" w:hAnsi="宋体"/>
          <w:b/>
          <w:bCs/>
          <w:color w:val="000000" w:themeColor="text1"/>
          <w:szCs w:val="21"/>
          <w14:textFill>
            <w14:solidFill>
              <w14:schemeClr w14:val="tx1"/>
            </w14:solidFill>
          </w14:textFill>
        </w:rPr>
      </w:pP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保险人义务</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w:t>
      </w:r>
      <w:r>
        <w:rPr>
          <w:rFonts w:hint="eastAsia" w:ascii="宋体" w:hAnsi="宋体"/>
          <w:b/>
          <w:bCs/>
          <w:color w:val="000000" w:themeColor="text1"/>
          <w:szCs w:val="21"/>
          <w14:textFill>
            <w14:solidFill>
              <w14:schemeClr w14:val="tx1"/>
            </w14:solidFill>
          </w14:textFill>
        </w:rPr>
        <w:t>一</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w:t>
      </w:r>
      <w:r>
        <w:rPr>
          <w:rFonts w:hint="eastAsia" w:ascii="宋体" w:hAnsi="宋体"/>
          <w:b/>
          <w:bCs/>
          <w:color w:val="000000" w:themeColor="text1"/>
          <w:szCs w:val="21"/>
          <w14:textFill>
            <w14:solidFill>
              <w14:schemeClr w14:val="tx1"/>
            </w14:solidFill>
          </w14:textFill>
        </w:rPr>
        <w:t>二</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本保险合同成立后，保险人应当及时向投保人签发保险单或其他保险凭证。</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w:t>
      </w:r>
      <w:r>
        <w:rPr>
          <w:rFonts w:hint="eastAsia" w:ascii="宋体" w:hAnsi="宋体"/>
          <w:b/>
          <w:bCs/>
          <w:color w:val="000000" w:themeColor="text1"/>
          <w:szCs w:val="21"/>
          <w14:textFill>
            <w14:solidFill>
              <w14:schemeClr w14:val="tx1"/>
            </w14:solidFill>
          </w14:textFill>
        </w:rPr>
        <w:t>三</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保险事故发生后，投保人、被保险人提供的有关索赔的证明和资料不完整的，保险人应当及时一次性通知投保人、被保险人补充提供。</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w:t>
      </w:r>
      <w:r>
        <w:rPr>
          <w:rFonts w:hint="eastAsia" w:ascii="宋体" w:hAnsi="宋体"/>
          <w:b/>
          <w:bCs/>
          <w:color w:val="000000" w:themeColor="text1"/>
          <w:szCs w:val="21"/>
          <w14:textFill>
            <w14:solidFill>
              <w14:schemeClr w14:val="tx1"/>
            </w14:solidFill>
          </w14:textFill>
        </w:rPr>
        <w:t>四</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保险人收到被保险人的赔偿请求后，应当及时作出是否属于保险责任的核定，并将核定结果通知被保险人。情形复杂的，应当在30日内做出核定并通知被保险人，对于属于保险责任的，在与被保险人达成有关赔偿保险金的协议后10日内，履行赔偿义务。</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保险人按照前款的规定作出核定后，对不属于保险责任的，应当自作出核定之日起3日内向被保险人发出拒绝赔偿保险金通知书，并说明理由。</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w:t>
      </w:r>
      <w:r>
        <w:rPr>
          <w:rFonts w:hint="eastAsia" w:ascii="宋体" w:hAnsi="宋体"/>
          <w:b/>
          <w:bCs/>
          <w:color w:val="000000" w:themeColor="text1"/>
          <w:szCs w:val="21"/>
          <w14:textFill>
            <w14:solidFill>
              <w14:schemeClr w14:val="tx1"/>
            </w14:solidFill>
          </w14:textFill>
        </w:rPr>
        <w:t>五</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保险人自收到赔偿保险金的请求和有关证明、资料之日起60日内，对其赔偿保险金的数额不能确定的，应当根据已有证明和资料可以确定的数额先予支付；保险人最终确定赔偿的数额后，应当支付相应的差额。</w:t>
      </w: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投保人、被保险人义务</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w:t>
      </w:r>
      <w:r>
        <w:rPr>
          <w:rFonts w:hint="eastAsia" w:ascii="宋体" w:hAnsi="宋体"/>
          <w:b/>
          <w:bCs/>
          <w:color w:val="000000" w:themeColor="text1"/>
          <w:szCs w:val="21"/>
          <w14:textFill>
            <w14:solidFill>
              <w14:schemeClr w14:val="tx1"/>
            </w14:solidFill>
          </w14:textFill>
        </w:rPr>
        <w:t>六</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订立保险合同，保险人就保险标的或者被保险人的有关情况提出询问的，投保人应当如实告知。</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投保人故意或者因重大过失未履行前款规定的如实告知义务，足以影响保险人决定是否同意承保或者提高保险费率的，保险人有权解除保险合同。</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前款规定的合同解除权，自保险人知道有解除事由之日起，超过30日不行使而消灭。自合同成立之日起超过2年的，保险人不得解除合同；发生保险事故的，保险人应当承担赔偿保险金的责任。</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投保人故意不履行如实告知义务的，保险人对于合同解除前发生的保险事故，不承担赔偿保险金的责任，并不退还保险费。</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投保人因重大过失未履行如实告知义务，对保险事故的发生有严重影响的，保险人对于合同解除前发生的保险事故，不承担赔偿保险金的责任，但应当退还保险费。</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保险人在合同订立时已经知道投保人未如实告知的情况的，保险人不得解除合同；发生保险事故的，保险人应当承担赔偿保险金的责任。</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w:t>
      </w:r>
      <w:r>
        <w:rPr>
          <w:rFonts w:hint="eastAsia" w:ascii="宋体" w:hAnsi="宋体"/>
          <w:b/>
          <w:bCs/>
          <w:color w:val="000000" w:themeColor="text1"/>
          <w:szCs w:val="21"/>
          <w14:textFill>
            <w14:solidFill>
              <w14:schemeClr w14:val="tx1"/>
            </w14:solidFill>
          </w14:textFill>
        </w:rPr>
        <w:t>七</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投保人应按照</w:t>
      </w:r>
      <w:r>
        <w:rPr>
          <w:rFonts w:hint="eastAsia" w:ascii="宋体" w:hAnsi="宋体"/>
          <w:color w:val="000000" w:themeColor="text1"/>
          <w:szCs w:val="21"/>
          <w14:textFill>
            <w14:solidFill>
              <w14:schemeClr w14:val="tx1"/>
            </w14:solidFill>
          </w14:textFill>
        </w:rPr>
        <w:t>本保险</w:t>
      </w:r>
      <w:r>
        <w:rPr>
          <w:rFonts w:ascii="宋体" w:hAnsi="宋体"/>
          <w:color w:val="000000" w:themeColor="text1"/>
          <w:szCs w:val="21"/>
          <w14:textFill>
            <w14:solidFill>
              <w14:schemeClr w14:val="tx1"/>
            </w14:solidFill>
          </w14:textFill>
        </w:rPr>
        <w:t>合同</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约定缴纳保险费。</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w:t>
      </w:r>
      <w:r>
        <w:rPr>
          <w:rFonts w:hint="eastAsia" w:ascii="宋体" w:hAnsi="宋体"/>
          <w:b/>
          <w:bCs/>
          <w:color w:val="000000" w:themeColor="text1"/>
          <w:szCs w:val="21"/>
          <w14:textFill>
            <w14:solidFill>
              <w14:schemeClr w14:val="tx1"/>
            </w14:solidFill>
          </w14:textFill>
        </w:rPr>
        <w:t>八</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被保险人应遵守《中华人民共和国医师法》、《医疗机构管理条例》及其实施细则、《护士条例》</w:t>
      </w:r>
      <w:r>
        <w:rPr>
          <w:rFonts w:hint="eastAsia" w:ascii="宋体" w:hAnsi="宋体"/>
          <w:color w:val="000000" w:themeColor="text1"/>
          <w:szCs w:val="21"/>
          <w14:textFill>
            <w14:solidFill>
              <w14:schemeClr w14:val="tx1"/>
            </w14:solidFill>
          </w14:textFill>
        </w:rPr>
        <w:t>等</w:t>
      </w:r>
      <w:r>
        <w:rPr>
          <w:rFonts w:ascii="宋体" w:hAnsi="宋体"/>
          <w:color w:val="000000" w:themeColor="text1"/>
          <w:szCs w:val="21"/>
          <w14:textFill>
            <w14:solidFill>
              <w14:schemeClr w14:val="tx1"/>
            </w14:solidFill>
          </w14:textFill>
        </w:rPr>
        <w:t>法律、法规及其他规定，加强管理，教育医务人员遵守诊疗护理规范、常规，恪守医疗服务职业道德，采取合理的预防措施，尽力防止保险事故的发生。</w:t>
      </w:r>
    </w:p>
    <w:p>
      <w:pPr>
        <w:adjustRightInd w:val="0"/>
        <w:snapToGrid w:val="0"/>
        <w:spacing w:after="156" w:afterLines="50"/>
        <w:ind w:firstLine="420" w:firstLineChars="200"/>
        <w:rPr>
          <w:rFonts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保险人可以就被保险人遵守前款约定的情况，对被保险人及其医务人员的专业资格、使用药品和医疗器械及其他各项医疗条件进行查验，</w:t>
      </w:r>
      <w:r>
        <w:rPr>
          <w:rFonts w:ascii="宋体" w:hAnsi="宋体"/>
          <w:b/>
          <w:color w:val="000000" w:themeColor="text1"/>
          <w:szCs w:val="21"/>
          <w14:textFill>
            <w14:solidFill>
              <w14:schemeClr w14:val="tx1"/>
            </w14:solidFill>
          </w14:textFill>
        </w:rPr>
        <w:t>被保险人应积极协助并提供保险人需要的用以评估有关风险的详情和资料。</w:t>
      </w:r>
      <w:r>
        <w:rPr>
          <w:rFonts w:ascii="宋体" w:hAnsi="宋体"/>
          <w:color w:val="000000" w:themeColor="text1"/>
          <w:szCs w:val="21"/>
          <w14:textFill>
            <w14:solidFill>
              <w14:schemeClr w14:val="tx1"/>
            </w14:solidFill>
          </w14:textFill>
        </w:rPr>
        <w:t>但上述查验并不构成保险人对被保险人及其医务人员的专业资格、使用药品和医疗器械及其他各项医疗条件符合相关法律、法规或规定的确认。</w:t>
      </w:r>
      <w:r>
        <w:rPr>
          <w:rFonts w:ascii="宋体" w:hAnsi="宋体"/>
          <w:b/>
          <w:color w:val="000000" w:themeColor="text1"/>
          <w:szCs w:val="21"/>
          <w14:textFill>
            <w14:solidFill>
              <w14:schemeClr w14:val="tx1"/>
            </w14:solidFill>
          </w14:textFill>
        </w:rPr>
        <w:t>保险人将所发现的缺陷或危险书面告知被保险人后，被保险人应在力所能及，合理限度内及时采取整改措施。</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投保人、被保险人未按照约定履行上述安全义务的，保险人有权要求增加保险费或者解除</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保险</w:t>
      </w:r>
      <w:r>
        <w:rPr>
          <w:rFonts w:ascii="宋体" w:hAnsi="宋体"/>
          <w:b/>
          <w:bCs/>
          <w:color w:val="000000" w:themeColor="text1"/>
          <w:szCs w:val="21"/>
          <w14:textFill>
            <w14:solidFill>
              <w14:schemeClr w14:val="tx1"/>
            </w14:solidFill>
          </w14:textFill>
        </w:rPr>
        <w:t>合同。</w:t>
      </w:r>
    </w:p>
    <w:p>
      <w:pPr>
        <w:adjustRightInd w:val="0"/>
        <w:snapToGrid w:val="0"/>
        <w:spacing w:after="156" w:afterLines="50"/>
        <w:ind w:firstLine="422" w:firstLineChars="200"/>
        <w:rPr>
          <w:rFonts w:ascii="宋体" w:hAnsi="宋体"/>
          <w:b/>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w:t>
      </w:r>
      <w:r>
        <w:rPr>
          <w:rFonts w:hint="eastAsia" w:ascii="宋体" w:hAnsi="宋体"/>
          <w:b/>
          <w:bCs/>
          <w:color w:val="000000" w:themeColor="text1"/>
          <w:szCs w:val="21"/>
          <w14:textFill>
            <w14:solidFill>
              <w14:schemeClr w14:val="tx1"/>
            </w14:solidFill>
          </w14:textFill>
        </w:rPr>
        <w:t>九</w:t>
      </w:r>
      <w:r>
        <w:rPr>
          <w:rFonts w:ascii="宋体" w:hAnsi="宋体"/>
          <w:b/>
          <w:bCs/>
          <w:color w:val="000000" w:themeColor="text1"/>
          <w:szCs w:val="21"/>
          <w14:textFill>
            <w14:solidFill>
              <w14:schemeClr w14:val="tx1"/>
            </w14:solidFill>
          </w14:textFill>
        </w:rPr>
        <w:t xml:space="preserve">条  </w:t>
      </w:r>
      <w:r>
        <w:rPr>
          <w:rFonts w:ascii="宋体" w:hAnsi="宋体"/>
          <w:b/>
          <w:color w:val="000000" w:themeColor="text1"/>
          <w:szCs w:val="21"/>
          <w14:textFill>
            <w14:solidFill>
              <w14:schemeClr w14:val="tx1"/>
            </w14:solidFill>
          </w14:textFill>
        </w:rPr>
        <w:t>在</w:t>
      </w:r>
      <w:r>
        <w:rPr>
          <w:rFonts w:hint="eastAsia" w:ascii="宋体" w:hAnsi="宋体"/>
          <w:b/>
          <w:color w:val="000000" w:themeColor="text1"/>
          <w:szCs w:val="21"/>
          <w14:textFill>
            <w14:solidFill>
              <w14:schemeClr w14:val="tx1"/>
            </w14:solidFill>
          </w14:textFill>
        </w:rPr>
        <w:t>本</w:t>
      </w:r>
      <w:r>
        <w:rPr>
          <w:rFonts w:ascii="宋体" w:hAnsi="宋体"/>
          <w:b/>
          <w:color w:val="000000" w:themeColor="text1"/>
          <w:szCs w:val="21"/>
          <w14:textFill>
            <w14:solidFill>
              <w14:schemeClr w14:val="tx1"/>
            </w14:solidFill>
          </w14:textFill>
        </w:rPr>
        <w:t>保险合同有效期内，本保险合同</w:t>
      </w:r>
      <w:r>
        <w:rPr>
          <w:rFonts w:hint="eastAsia" w:ascii="宋体" w:hAnsi="宋体"/>
          <w:b/>
          <w:color w:val="000000" w:themeColor="text1"/>
          <w:szCs w:val="21"/>
          <w14:textFill>
            <w14:solidFill>
              <w14:schemeClr w14:val="tx1"/>
            </w14:solidFill>
          </w14:textFill>
        </w:rPr>
        <w:t>列</w:t>
      </w:r>
      <w:r>
        <w:rPr>
          <w:rFonts w:ascii="宋体" w:hAnsi="宋体"/>
          <w:b/>
          <w:color w:val="000000" w:themeColor="text1"/>
          <w:szCs w:val="21"/>
          <w14:textFill>
            <w14:solidFill>
              <w14:schemeClr w14:val="tx1"/>
            </w14:solidFill>
          </w14:textFill>
        </w:rPr>
        <w:t>明的重要事项</w:t>
      </w:r>
      <w:r>
        <w:rPr>
          <w:rFonts w:hint="eastAsia" w:ascii="宋体" w:hAnsi="宋体"/>
          <w:b/>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如医疗机构类型、医疗机构等级等）</w:t>
      </w:r>
      <w:r>
        <w:rPr>
          <w:rFonts w:ascii="宋体" w:hAnsi="宋体"/>
          <w:b/>
          <w:color w:val="000000" w:themeColor="text1"/>
          <w:szCs w:val="21"/>
          <w14:textFill>
            <w14:solidFill>
              <w14:schemeClr w14:val="tx1"/>
            </w14:solidFill>
          </w14:textFill>
        </w:rPr>
        <w:t>发生变更</w:t>
      </w:r>
      <w:r>
        <w:rPr>
          <w:rFonts w:hint="eastAsia" w:ascii="宋体" w:hAnsi="宋体"/>
          <w:b/>
          <w:color w:val="000000" w:themeColor="text1"/>
          <w:szCs w:val="21"/>
          <w14:textFill>
            <w14:solidFill>
              <w14:schemeClr w14:val="tx1"/>
            </w14:solidFill>
          </w14:textFill>
        </w:rPr>
        <w:t>导致</w:t>
      </w:r>
      <w:r>
        <w:rPr>
          <w:rFonts w:ascii="宋体" w:hAnsi="宋体"/>
          <w:b/>
          <w:color w:val="000000" w:themeColor="text1"/>
          <w:szCs w:val="21"/>
          <w14:textFill>
            <w14:solidFill>
              <w14:schemeClr w14:val="tx1"/>
            </w14:solidFill>
          </w14:textFill>
        </w:rPr>
        <w:t>危险程度显著增加的，被保险人应当及时书面通知保险人，保险人</w:t>
      </w:r>
      <w:r>
        <w:rPr>
          <w:rFonts w:hint="eastAsia" w:ascii="宋体" w:hAnsi="宋体"/>
          <w:b/>
          <w:color w:val="000000" w:themeColor="text1"/>
          <w:szCs w:val="21"/>
          <w14:textFill>
            <w14:solidFill>
              <w14:schemeClr w14:val="tx1"/>
            </w14:solidFill>
          </w14:textFill>
        </w:rPr>
        <w:t>有权增加保险费或解除本保险合同，增加保险费的，保险人</w:t>
      </w:r>
      <w:r>
        <w:rPr>
          <w:rFonts w:ascii="宋体" w:hAnsi="宋体"/>
          <w:b/>
          <w:color w:val="000000" w:themeColor="text1"/>
          <w:szCs w:val="21"/>
          <w14:textFill>
            <w14:solidFill>
              <w14:schemeClr w14:val="tx1"/>
            </w14:solidFill>
          </w14:textFill>
        </w:rPr>
        <w:t>应及时办理批改手续。</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被保险人未履行前款约定的通知义务的，因保险标的的危险程度显著增加而发生的保险事故，保险人不承担赔偿保险金的责任。</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 xml:space="preserve">第二十条  </w:t>
      </w:r>
      <w:r>
        <w:rPr>
          <w:rFonts w:ascii="宋体" w:hAnsi="宋体"/>
          <w:color w:val="000000" w:themeColor="text1"/>
          <w:szCs w:val="21"/>
          <w14:textFill>
            <w14:solidFill>
              <w14:schemeClr w14:val="tx1"/>
            </w14:solidFill>
          </w14:textFill>
        </w:rPr>
        <w:t>知道保险事故发生后，投保人、被保险人应当：</w:t>
      </w:r>
    </w:p>
    <w:p>
      <w:pPr>
        <w:adjustRightInd w:val="0"/>
        <w:snapToGrid w:val="0"/>
        <w:spacing w:after="156" w:afterLines="50"/>
        <w:ind w:firstLine="420" w:firstLineChars="200"/>
        <w:rPr>
          <w:rFonts w:ascii="宋体" w:hAnsi="宋体"/>
          <w:b/>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（一）尽力采取必要的措施，避免或减轻对患者人身的损害，并防止赔偿扩大</w:t>
      </w:r>
      <w:r>
        <w:rPr>
          <w:rFonts w:hint="eastAsia" w:ascii="宋体" w:hAnsi="宋体"/>
          <w:b/>
          <w:bCs/>
          <w:color w:val="000000" w:themeColor="text1"/>
          <w:szCs w:val="21"/>
          <w14:textFill>
            <w14:solidFill>
              <w14:schemeClr w14:val="tx1"/>
            </w14:solidFill>
          </w14:textFill>
        </w:rPr>
        <w:t>，否则，对因此扩大的损失，保险人不承担赔偿责任</w:t>
      </w:r>
      <w:r>
        <w:rPr>
          <w:rFonts w:ascii="宋体" w:hAnsi="宋体"/>
          <w:b/>
          <w:bCs/>
          <w:color w:val="000000" w:themeColor="text1"/>
          <w:szCs w:val="21"/>
          <w14:textFill>
            <w14:solidFill>
              <w14:schemeClr w14:val="tx1"/>
            </w14:solidFill>
          </w14:textFill>
        </w:rPr>
        <w:t>；</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（二）及时通知保险人及</w:t>
      </w:r>
      <w:r>
        <w:rPr>
          <w:rFonts w:hint="eastAsia" w:ascii="宋体" w:hAnsi="宋体"/>
          <w:color w:val="000000" w:themeColor="text1"/>
          <w:szCs w:val="21"/>
          <w14:textFill>
            <w14:solidFill>
              <w14:schemeClr w14:val="tx1"/>
            </w14:solidFill>
          </w14:textFill>
        </w:rPr>
        <w:t>本保险合同约定的调解委员会（投保人、保险人可协商确定人民调解委员会，并在本保险合同中载明，简称“调解委员会”）</w:t>
      </w:r>
      <w:r>
        <w:rPr>
          <w:rFonts w:ascii="宋体" w:hAnsi="宋体"/>
          <w:color w:val="000000" w:themeColor="text1"/>
          <w:szCs w:val="21"/>
          <w14:textFill>
            <w14:solidFill>
              <w14:schemeClr w14:val="tx1"/>
            </w14:solidFill>
          </w14:textFill>
        </w:rPr>
        <w:t>，并书面说明事故发生的原因、经过和损失情况；保险人认可由调解委员会提供的报案信息并视同为及时报案，</w:t>
      </w:r>
      <w:r>
        <w:rPr>
          <w:rFonts w:ascii="宋体" w:hAnsi="宋体"/>
          <w:b/>
          <w:bCs/>
          <w:color w:val="000000" w:themeColor="text1"/>
          <w:szCs w:val="21"/>
          <w14:textFill>
            <w14:solidFill>
              <w14:schemeClr w14:val="tx1"/>
            </w14:solidFill>
          </w14:textFill>
        </w:rPr>
        <w:t>故意或者因重大过失未及时通知，致使保险事故的性质、原因、损失程度等难以确定的，保险人对无法确定的部分，不承担赔偿责任</w:t>
      </w:r>
      <w:r>
        <w:rPr>
          <w:rFonts w:ascii="宋体" w:hAnsi="宋体"/>
          <w:color w:val="000000" w:themeColor="text1"/>
          <w:szCs w:val="21"/>
          <w14:textFill>
            <w14:solidFill>
              <w14:schemeClr w14:val="tx1"/>
            </w14:solidFill>
          </w14:textFill>
        </w:rPr>
        <w:t>，但保险人通过其他途径已经及时知道或者应当及时知道保险事故发生的除外；</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（三）</w:t>
      </w:r>
      <w:bookmarkStart w:id="46" w:name="_Hlk74820114"/>
      <w:r>
        <w:rPr>
          <w:rFonts w:ascii="宋体" w:hAnsi="宋体"/>
          <w:color w:val="000000" w:themeColor="text1"/>
          <w:szCs w:val="21"/>
          <w14:textFill>
            <w14:solidFill>
              <w14:schemeClr w14:val="tx1"/>
            </w14:solidFill>
          </w14:textFill>
        </w:rPr>
        <w:t>按照规定向有关部门报告，并按照规定的程序进行或申请进行调查、分析、鉴定。妥善保管有关的原始资料，不得涂改、伪造、隐匿或</w:t>
      </w:r>
      <w:r>
        <w:rPr>
          <w:rFonts w:hint="eastAsia" w:ascii="宋体" w:hAnsi="宋体"/>
          <w:color w:val="000000" w:themeColor="text1"/>
          <w:szCs w:val="21"/>
          <w14:textFill>
            <w14:solidFill>
              <w14:schemeClr w14:val="tx1"/>
            </w14:solidFill>
          </w14:textFill>
        </w:rPr>
        <w:t>者违法</w:t>
      </w:r>
      <w:r>
        <w:rPr>
          <w:rFonts w:ascii="宋体" w:hAnsi="宋体"/>
          <w:color w:val="000000" w:themeColor="text1"/>
          <w:szCs w:val="21"/>
          <w14:textFill>
            <w14:solidFill>
              <w14:schemeClr w14:val="tx1"/>
            </w14:solidFill>
          </w14:textFill>
        </w:rPr>
        <w:t>销毁，并对引起不良后果的药品</w:t>
      </w:r>
      <w:r>
        <w:rPr>
          <w:rFonts w:hint="eastAsia" w:ascii="宋体" w:hAnsi="宋体"/>
          <w:color w:val="000000" w:themeColor="text1"/>
          <w:szCs w:val="21"/>
          <w14:textFill>
            <w14:solidFill>
              <w14:schemeClr w14:val="tx1"/>
            </w14:solidFill>
          </w14:textFill>
        </w:rPr>
        <w:t>、消毒产品</w:t>
      </w:r>
      <w:r>
        <w:rPr>
          <w:rFonts w:ascii="宋体" w:hAnsi="宋体"/>
          <w:color w:val="000000" w:themeColor="text1"/>
          <w:szCs w:val="21"/>
          <w14:textFill>
            <w14:solidFill>
              <w14:schemeClr w14:val="tx1"/>
            </w14:solidFill>
          </w14:textFill>
        </w:rPr>
        <w:t>、医疗器械</w:t>
      </w:r>
      <w:r>
        <w:rPr>
          <w:rFonts w:hint="eastAsia" w:ascii="宋体" w:hAnsi="宋体"/>
          <w:color w:val="000000" w:themeColor="text1"/>
          <w:szCs w:val="21"/>
          <w14:textFill>
            <w14:solidFill>
              <w14:schemeClr w14:val="tx1"/>
            </w14:solidFill>
          </w14:textFill>
        </w:rPr>
        <w:t>、血液</w:t>
      </w:r>
      <w:r>
        <w:rPr>
          <w:rFonts w:ascii="宋体" w:hAnsi="宋体"/>
          <w:color w:val="000000" w:themeColor="text1"/>
          <w:szCs w:val="21"/>
          <w14:textFill>
            <w14:solidFill>
              <w14:schemeClr w14:val="tx1"/>
            </w14:solidFill>
          </w14:textFill>
        </w:rPr>
        <w:t>等现场实物按照有关规定进行封存并妥善保管，以备查验；允许并且协助保险人进行事故调查。</w:t>
      </w:r>
      <w:bookmarkEnd w:id="46"/>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（四）保护事故现场，允许并且协助保险人进行事故调查。</w:t>
      </w:r>
      <w:r>
        <w:rPr>
          <w:rFonts w:hint="eastAsia" w:ascii="宋体" w:hAnsi="宋体" w:cs="宋体"/>
          <w:b/>
          <w:bCs/>
          <w:color w:val="000000" w:themeColor="text1"/>
          <w:szCs w:val="21"/>
          <w14:textFill>
            <w14:solidFill>
              <w14:schemeClr w14:val="tx1"/>
            </w14:solidFill>
          </w14:textFill>
        </w:rPr>
        <w:t>对于拒绝或者妨碍保险人进行事故调查导致无法认定事故原因或核实损失情况的，保险人对无法确定或核实的部分不承担赔偿责任。</w:t>
      </w:r>
    </w:p>
    <w:p>
      <w:pPr>
        <w:spacing w:after="156" w:afterLines="50"/>
        <w:ind w:firstLine="422" w:firstLineChars="200"/>
        <w:rPr>
          <w:rFonts w:ascii="宋体" w:hAnsi="宋体" w:cs="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第二十</w:t>
      </w:r>
      <w:r>
        <w:rPr>
          <w:rFonts w:hint="eastAsia" w:ascii="宋体" w:hAnsi="宋体"/>
          <w:b/>
          <w:bCs/>
          <w:color w:val="000000" w:themeColor="text1"/>
          <w:szCs w:val="21"/>
          <w14:textFill>
            <w14:solidFill>
              <w14:schemeClr w14:val="tx1"/>
            </w14:solidFill>
          </w14:textFill>
        </w:rPr>
        <w:t>一</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被保险人收到患者或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其近亲属或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其代理人的损害赔偿请求时，应立即通知保险人及调解委员会。</w:t>
      </w:r>
      <w:r>
        <w:rPr>
          <w:rFonts w:ascii="宋体" w:hAnsi="宋体"/>
          <w:b/>
          <w:bCs/>
          <w:color w:val="000000" w:themeColor="text1"/>
          <w:szCs w:val="21"/>
          <w14:textFill>
            <w14:solidFill>
              <w14:schemeClr w14:val="tx1"/>
            </w14:solidFill>
          </w14:textFill>
        </w:rPr>
        <w:t>未经保险人书面同意，被保险人对受害人及其近亲属、代理人作出的任何承诺、拒绝、出价、约定、付款或赔偿，保险人不受其约束。对于未经保险人同意而被保险人自行承诺或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支付的赔偿金额，如不属于本保险</w:t>
      </w:r>
      <w:r>
        <w:rPr>
          <w:rFonts w:hint="eastAsia" w:ascii="宋体" w:hAnsi="宋体"/>
          <w:b/>
          <w:bCs/>
          <w:color w:val="000000" w:themeColor="text1"/>
          <w:szCs w:val="21"/>
          <w14:textFill>
            <w14:solidFill>
              <w14:schemeClr w14:val="tx1"/>
            </w14:solidFill>
          </w14:textFill>
        </w:rPr>
        <w:t>合同</w:t>
      </w:r>
      <w:r>
        <w:rPr>
          <w:rFonts w:ascii="宋体" w:hAnsi="宋体"/>
          <w:b/>
          <w:bCs/>
          <w:color w:val="000000" w:themeColor="text1"/>
          <w:szCs w:val="21"/>
          <w14:textFill>
            <w14:solidFill>
              <w14:schemeClr w14:val="tx1"/>
            </w14:solidFill>
          </w14:textFill>
        </w:rPr>
        <w:t>责任范围或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超出应赔偿限额的，保险人不承担赔偿责任。</w:t>
      </w:r>
      <w:r>
        <w:rPr>
          <w:rFonts w:hint="eastAsia" w:ascii="宋体" w:hAnsi="宋体" w:cs="宋体"/>
          <w:color w:val="000000" w:themeColor="text1"/>
          <w:szCs w:val="21"/>
          <w14:textFill>
            <w14:solidFill>
              <w14:schemeClr w14:val="tx1"/>
            </w14:solidFill>
          </w14:textFill>
        </w:rPr>
        <w:t>在处理索赔过程中，保险人有权自行处理由其承担最终赔偿责任的任何索赔案件，被保险人有义务向保险人提供其所能提供的资料和协助。</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第二十</w:t>
      </w:r>
      <w:r>
        <w:rPr>
          <w:rFonts w:hint="eastAsia" w:ascii="宋体" w:hAnsi="宋体"/>
          <w:b/>
          <w:bCs/>
          <w:color w:val="000000" w:themeColor="text1"/>
          <w:szCs w:val="21"/>
          <w14:textFill>
            <w14:solidFill>
              <w14:schemeClr w14:val="tx1"/>
            </w14:solidFill>
          </w14:textFill>
        </w:rPr>
        <w:t>二</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被保险人获悉可能发生诉讼、仲裁时，应立即以书面形式通知保险人；接到法院传票或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其他法律文书后，应将其副本及时送交保险人。</w:t>
      </w:r>
      <w:r>
        <w:rPr>
          <w:rFonts w:ascii="宋体" w:hAnsi="宋体"/>
          <w:b/>
          <w:color w:val="000000" w:themeColor="text1"/>
          <w:szCs w:val="21"/>
          <w14:textFill>
            <w14:solidFill>
              <w14:schemeClr w14:val="tx1"/>
            </w14:solidFill>
          </w14:textFill>
        </w:rPr>
        <w:t>保险人</w:t>
      </w:r>
      <w:r>
        <w:rPr>
          <w:rFonts w:hint="eastAsia" w:ascii="宋体" w:hAnsi="宋体"/>
          <w:b/>
          <w:color w:val="000000" w:themeColor="text1"/>
          <w:szCs w:val="21"/>
          <w14:textFill>
            <w14:solidFill>
              <w14:schemeClr w14:val="tx1"/>
            </w14:solidFill>
          </w14:textFill>
        </w:rPr>
        <w:t>有权</w:t>
      </w:r>
      <w:r>
        <w:rPr>
          <w:rFonts w:ascii="宋体" w:hAnsi="宋体"/>
          <w:b/>
          <w:color w:val="000000" w:themeColor="text1"/>
          <w:szCs w:val="21"/>
          <w14:textFill>
            <w14:solidFill>
              <w14:schemeClr w14:val="tx1"/>
            </w14:solidFill>
          </w14:textFill>
        </w:rPr>
        <w:t>以</w:t>
      </w:r>
      <w:r>
        <w:rPr>
          <w:rFonts w:hint="eastAsia" w:ascii="宋体" w:hAnsi="宋体"/>
          <w:b/>
          <w:color w:val="000000" w:themeColor="text1"/>
          <w:szCs w:val="21"/>
          <w14:textFill>
            <w14:solidFill>
              <w14:schemeClr w14:val="tx1"/>
            </w14:solidFill>
          </w14:textFill>
        </w:rPr>
        <w:t>被保险人名义或</w:t>
      </w:r>
      <w:r>
        <w:rPr>
          <w:rFonts w:ascii="宋体" w:hAnsi="宋体"/>
          <w:b/>
          <w:color w:val="000000" w:themeColor="text1"/>
          <w:szCs w:val="21"/>
          <w14:textFill>
            <w14:solidFill>
              <w14:schemeClr w14:val="tx1"/>
            </w14:solidFill>
          </w14:textFill>
        </w:rPr>
        <w:t>法律规定的第三人名义参加有关诉讼或</w:t>
      </w:r>
      <w:r>
        <w:rPr>
          <w:rFonts w:hint="eastAsia" w:ascii="宋体" w:hAnsi="宋体"/>
          <w:b/>
          <w:color w:val="000000" w:themeColor="text1"/>
          <w:szCs w:val="21"/>
          <w14:textFill>
            <w14:solidFill>
              <w14:schemeClr w14:val="tx1"/>
            </w14:solidFill>
          </w14:textFill>
        </w:rPr>
        <w:t>者</w:t>
      </w:r>
      <w:r>
        <w:rPr>
          <w:rFonts w:ascii="宋体" w:hAnsi="宋体"/>
          <w:b/>
          <w:color w:val="000000" w:themeColor="text1"/>
          <w:szCs w:val="21"/>
          <w14:textFill>
            <w14:solidFill>
              <w14:schemeClr w14:val="tx1"/>
            </w14:solidFill>
          </w14:textFill>
        </w:rPr>
        <w:t>仲裁事宜，被保险人应提供有关文件并给予必要协助。</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对因未及时提供上述通知或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必要协助导致扩大的损失，保险人不承担赔偿责任。</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第二十</w:t>
      </w:r>
      <w:r>
        <w:rPr>
          <w:rFonts w:hint="eastAsia" w:ascii="宋体" w:hAnsi="宋体"/>
          <w:b/>
          <w:bCs/>
          <w:color w:val="000000" w:themeColor="text1"/>
          <w:szCs w:val="21"/>
          <w14:textFill>
            <w14:solidFill>
              <w14:schemeClr w14:val="tx1"/>
            </w14:solidFill>
          </w14:textFill>
        </w:rPr>
        <w:t>三</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被保险人请求赔偿时，应向保险人提供下列证明和材料：</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（一）保险单正本、被保险人或其代表填具的索赔申请书；</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（二）患者或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其近亲属或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其代理人向被保险人提出索赔的相关证明和资料；</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（三）有关医务人员的资格和执业证明、被保险人与有关医务人员的</w:t>
      </w:r>
      <w:r>
        <w:rPr>
          <w:rFonts w:hint="eastAsia" w:ascii="宋体" w:hAnsi="宋体"/>
          <w:color w:val="000000" w:themeColor="text1"/>
          <w:szCs w:val="21"/>
          <w14:textFill>
            <w14:solidFill>
              <w14:schemeClr w14:val="tx1"/>
            </w14:solidFill>
          </w14:textFill>
        </w:rPr>
        <w:t>工作</w:t>
      </w:r>
      <w:r>
        <w:rPr>
          <w:rFonts w:ascii="宋体" w:hAnsi="宋体"/>
          <w:color w:val="000000" w:themeColor="text1"/>
          <w:szCs w:val="21"/>
          <w14:textFill>
            <w14:solidFill>
              <w14:schemeClr w14:val="tx1"/>
            </w14:solidFill>
          </w14:textFill>
        </w:rPr>
        <w:t>关系证明；</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（四）患者完整的病例资料：患者伤残的，应当提供司法鉴定机构依法出具的伤残鉴定报告；患者死亡的，应当提供公安机关或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医疗机构出具的死亡证明书等有关证明和资料；</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（五）事故情况说明、赔偿项目清单；涉及医疗费用的，应提供医疗费用票据等资料；</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六</w:t>
      </w:r>
      <w:r>
        <w:rPr>
          <w:rFonts w:ascii="宋体" w:hAnsi="宋体"/>
          <w:color w:val="000000" w:themeColor="text1"/>
          <w:szCs w:val="21"/>
          <w14:textFill>
            <w14:solidFill>
              <w14:schemeClr w14:val="tx1"/>
            </w14:solidFill>
          </w14:textFill>
        </w:rPr>
        <w:t>）已经国家批准或认可的司法鉴定机构、医疗事故技术鉴定机构进行过鉴定的，应提供司法鉴定意见书、医疗事故技术鉴定书；</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七</w:t>
      </w:r>
      <w:r>
        <w:rPr>
          <w:rFonts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被保险人与患方自行和解的，提供和解协议书；经调解委员会调解的，提供人民调解协议书；经法院判决或者法院调解的，提供法院判决书或者法院调解书；经仲裁裁决或者调解的，提供仲裁裁决书或者仲裁调解书；</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八</w:t>
      </w:r>
      <w:r>
        <w:rPr>
          <w:rFonts w:ascii="宋体" w:hAnsi="宋体"/>
          <w:color w:val="000000" w:themeColor="text1"/>
          <w:szCs w:val="21"/>
          <w14:textFill>
            <w14:solidFill>
              <w14:schemeClr w14:val="tx1"/>
            </w14:solidFill>
          </w14:textFill>
        </w:rPr>
        <w:t>）投保人、被保险人所能提供的与确认保险事故的性质、原因、损失程度等有关的其他证明和资料。</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被保险人未履行前款约定的索赔材料提供义务，导致保险人无法核实损失情况的，保险人对无法核实部分不承担赔偿责任。</w:t>
      </w:r>
    </w:p>
    <w:p>
      <w:pPr>
        <w:adjustRightInd w:val="0"/>
        <w:snapToGrid w:val="0"/>
        <w:spacing w:after="156" w:afterLines="50"/>
        <w:ind w:firstLine="200"/>
        <w:rPr>
          <w:rFonts w:ascii="宋体" w:hAnsi="宋体"/>
          <w:b/>
          <w:bCs/>
          <w:color w:val="000000" w:themeColor="text1"/>
          <w:sz w:val="11"/>
          <w:szCs w:val="11"/>
          <w14:textFill>
            <w14:solidFill>
              <w14:schemeClr w14:val="tx1"/>
            </w14:solidFill>
          </w14:textFill>
        </w:rPr>
      </w:pP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赔偿处理</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第二十</w:t>
      </w:r>
      <w:r>
        <w:rPr>
          <w:rFonts w:hint="eastAsia" w:ascii="宋体" w:hAnsi="宋体"/>
          <w:b/>
          <w:bCs/>
          <w:color w:val="000000" w:themeColor="text1"/>
          <w:szCs w:val="21"/>
          <w14:textFill>
            <w14:solidFill>
              <w14:schemeClr w14:val="tx1"/>
            </w14:solidFill>
          </w14:textFill>
        </w:rPr>
        <w:t>四</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本保险合同采用期内索赔制。</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期内索赔制是指保险责任的承担以索赔发生为基础：凡在保险单中列明的保险期间或追溯期内，被保险人在从事与其资格相符的诊疗活动中造成患者损害，患者或其近亲属</w:t>
      </w:r>
      <w:r>
        <w:rPr>
          <w:rFonts w:hint="eastAsia" w:ascii="宋体" w:hAnsi="宋体"/>
          <w:color w:val="000000" w:themeColor="text1"/>
          <w:szCs w:val="21"/>
          <w14:textFill>
            <w14:solidFill>
              <w14:schemeClr w14:val="tx1"/>
            </w14:solidFill>
          </w14:textFill>
        </w:rPr>
        <w:t>或者其</w:t>
      </w:r>
      <w:r>
        <w:rPr>
          <w:rFonts w:ascii="宋体" w:hAnsi="宋体"/>
          <w:color w:val="000000" w:themeColor="text1"/>
          <w:szCs w:val="21"/>
          <w14:textFill>
            <w14:solidFill>
              <w14:schemeClr w14:val="tx1"/>
            </w14:solidFill>
          </w14:textFill>
        </w:rPr>
        <w:t>代理人</w:t>
      </w:r>
      <w:r>
        <w:rPr>
          <w:rFonts w:hint="eastAsia" w:ascii="宋体" w:hAnsi="宋体"/>
          <w:color w:val="000000" w:themeColor="text1"/>
          <w:szCs w:val="21"/>
          <w14:textFill>
            <w14:solidFill>
              <w14:schemeClr w14:val="tx1"/>
            </w14:solidFill>
          </w14:textFill>
        </w:rPr>
        <w:t>在保险期间内</w:t>
      </w:r>
      <w:r>
        <w:rPr>
          <w:rFonts w:ascii="宋体" w:hAnsi="宋体"/>
          <w:color w:val="000000" w:themeColor="text1"/>
          <w:szCs w:val="21"/>
          <w14:textFill>
            <w14:solidFill>
              <w14:schemeClr w14:val="tx1"/>
            </w14:solidFill>
          </w14:textFill>
        </w:rPr>
        <w:t>首次向被保险人提出损害赔偿请求的时间在保险期间内的，</w:t>
      </w:r>
      <w:r>
        <w:rPr>
          <w:rFonts w:hint="eastAsia" w:ascii="宋体" w:hAnsi="宋体"/>
          <w:color w:val="000000" w:themeColor="text1"/>
          <w:szCs w:val="21"/>
          <w14:textFill>
            <w14:solidFill>
              <w14:schemeClr w14:val="tx1"/>
            </w14:solidFill>
          </w14:textFill>
        </w:rPr>
        <w:t>对于被保险人因此依法承担的责任，保险人根据本保险合同的约定负责赔偿</w:t>
      </w:r>
      <w:r>
        <w:rPr>
          <w:rFonts w:ascii="宋体" w:hAnsi="宋体"/>
          <w:color w:val="000000" w:themeColor="text1"/>
          <w:szCs w:val="21"/>
          <w14:textFill>
            <w14:solidFill>
              <w14:schemeClr w14:val="tx1"/>
            </w14:solidFill>
          </w14:textFill>
        </w:rPr>
        <w:t>。即</w:t>
      </w:r>
      <w:r>
        <w:rPr>
          <w:rFonts w:ascii="宋体" w:hAnsi="宋体"/>
          <w:b/>
          <w:color w:val="000000" w:themeColor="text1"/>
          <w:szCs w:val="21"/>
          <w14:textFill>
            <w14:solidFill>
              <w14:schemeClr w14:val="tx1"/>
            </w14:solidFill>
          </w14:textFill>
        </w:rPr>
        <w:t>保险人承担保险责任的前提条件是必须同时满足：</w:t>
      </w:r>
    </w:p>
    <w:p>
      <w:pPr>
        <w:adjustRightInd w:val="0"/>
        <w:snapToGrid w:val="0"/>
        <w:spacing w:after="156" w:afterLines="50"/>
        <w:ind w:firstLine="422" w:firstLine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 患者接受诊疗活动导致人身损害的时间必须在保险期间或追溯期内；</w:t>
      </w:r>
      <w:r>
        <w:rPr>
          <w:rFonts w:hint="eastAsia" w:ascii="宋体" w:hAnsi="宋体"/>
          <w:b/>
          <w:color w:val="000000" w:themeColor="text1"/>
          <w:szCs w:val="21"/>
          <w14:textFill>
            <w14:solidFill>
              <w14:schemeClr w14:val="tx1"/>
            </w14:solidFill>
          </w14:textFill>
        </w:rPr>
        <w:t>且</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 患者或</w:t>
      </w:r>
      <w:r>
        <w:rPr>
          <w:rFonts w:hint="eastAsia" w:ascii="宋体" w:hAnsi="宋体"/>
          <w:b/>
          <w:color w:val="000000" w:themeColor="text1"/>
          <w:szCs w:val="21"/>
          <w14:textFill>
            <w14:solidFill>
              <w14:schemeClr w14:val="tx1"/>
            </w14:solidFill>
          </w14:textFill>
        </w:rPr>
        <w:t>者</w:t>
      </w:r>
      <w:r>
        <w:rPr>
          <w:rFonts w:ascii="宋体" w:hAnsi="宋体"/>
          <w:b/>
          <w:color w:val="000000" w:themeColor="text1"/>
          <w:szCs w:val="21"/>
          <w14:textFill>
            <w14:solidFill>
              <w14:schemeClr w14:val="tx1"/>
            </w14:solidFill>
          </w14:textFill>
        </w:rPr>
        <w:t>其近亲属</w:t>
      </w:r>
      <w:r>
        <w:rPr>
          <w:rFonts w:hint="eastAsia" w:ascii="宋体" w:hAnsi="宋体"/>
          <w:b/>
          <w:color w:val="000000" w:themeColor="text1"/>
          <w:szCs w:val="21"/>
          <w14:textFill>
            <w14:solidFill>
              <w14:schemeClr w14:val="tx1"/>
            </w14:solidFill>
          </w14:textFill>
        </w:rPr>
        <w:t>或者其</w:t>
      </w:r>
      <w:r>
        <w:rPr>
          <w:rFonts w:ascii="宋体" w:hAnsi="宋体"/>
          <w:b/>
          <w:color w:val="000000" w:themeColor="text1"/>
          <w:szCs w:val="21"/>
          <w14:textFill>
            <w14:solidFill>
              <w14:schemeClr w14:val="tx1"/>
            </w14:solidFill>
          </w14:textFill>
        </w:rPr>
        <w:t>代理人因上述人身损害首次向被保险人提出损害赔偿请求的时间必须在保险期间内。</w:t>
      </w:r>
      <w:r>
        <w:rPr>
          <w:rFonts w:hint="eastAsia" w:ascii="宋体" w:hAnsi="宋体"/>
          <w:b/>
          <w:bCs/>
          <w:color w:val="000000" w:themeColor="text1"/>
          <w:szCs w:val="21"/>
          <w14:textFill>
            <w14:solidFill>
              <w14:schemeClr w14:val="tx1"/>
            </w14:solidFill>
          </w14:textFill>
        </w:rPr>
        <w:t>本保险合同</w:t>
      </w:r>
      <w:r>
        <w:rPr>
          <w:rFonts w:ascii="宋体" w:hAnsi="宋体"/>
          <w:b/>
          <w:bCs/>
          <w:color w:val="000000" w:themeColor="text1"/>
          <w:szCs w:val="21"/>
          <w14:textFill>
            <w14:solidFill>
              <w14:schemeClr w14:val="tx1"/>
            </w14:solidFill>
          </w14:textFill>
        </w:rPr>
        <w:t>生效之日前患者或</w:t>
      </w:r>
      <w:r>
        <w:rPr>
          <w:rFonts w:hint="eastAsia" w:ascii="宋体" w:hAnsi="宋体"/>
          <w:b/>
          <w:bCs/>
          <w:color w:val="000000" w:themeColor="text1"/>
          <w:szCs w:val="21"/>
          <w14:textFill>
            <w14:solidFill>
              <w14:schemeClr w14:val="tx1"/>
            </w14:solidFill>
          </w14:textFill>
        </w:rPr>
        <w:t>者</w:t>
      </w:r>
      <w:r>
        <w:rPr>
          <w:rFonts w:ascii="宋体" w:hAnsi="宋体"/>
          <w:b/>
          <w:bCs/>
          <w:color w:val="000000" w:themeColor="text1"/>
          <w:szCs w:val="21"/>
          <w14:textFill>
            <w14:solidFill>
              <w14:schemeClr w14:val="tx1"/>
            </w14:solidFill>
          </w14:textFill>
        </w:rPr>
        <w:t>其近亲属</w:t>
      </w:r>
      <w:r>
        <w:rPr>
          <w:rFonts w:hint="eastAsia" w:ascii="宋体" w:hAnsi="宋体"/>
          <w:b/>
          <w:bCs/>
          <w:color w:val="000000" w:themeColor="text1"/>
          <w:szCs w:val="21"/>
          <w14:textFill>
            <w14:solidFill>
              <w14:schemeClr w14:val="tx1"/>
            </w14:solidFill>
          </w14:textFill>
        </w:rPr>
        <w:t>或者其</w:t>
      </w:r>
      <w:r>
        <w:rPr>
          <w:rFonts w:ascii="宋体" w:hAnsi="宋体"/>
          <w:b/>
          <w:bCs/>
          <w:color w:val="000000" w:themeColor="text1"/>
          <w:szCs w:val="21"/>
          <w14:textFill>
            <w14:solidFill>
              <w14:schemeClr w14:val="tx1"/>
            </w14:solidFill>
          </w14:textFill>
        </w:rPr>
        <w:t>代理人已经对同一事由提出过索赔请求（无论之前已提出的索赔请求是否采用书面形式或再次提出索赔请求的索赔金额或事故原因等情况是否与已提出的索赔请求一致）的，保险人不负责赔偿。</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第二十</w:t>
      </w:r>
      <w:r>
        <w:rPr>
          <w:rFonts w:hint="eastAsia" w:ascii="宋体" w:hAnsi="宋体"/>
          <w:b/>
          <w:bCs/>
          <w:color w:val="000000" w:themeColor="text1"/>
          <w:szCs w:val="21"/>
          <w14:textFill>
            <w14:solidFill>
              <w14:schemeClr w14:val="tx1"/>
            </w14:solidFill>
          </w14:textFill>
        </w:rPr>
        <w:t>五</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发生保险责任范围内的损失，保险人按以下方式计算赔偿：</w:t>
      </w:r>
    </w:p>
    <w:p>
      <w:pPr>
        <w:adjustRightInd w:val="0"/>
        <w:snapToGrid w:val="0"/>
        <w:spacing w:after="156" w:afterLines="50"/>
        <w:ind w:firstLine="420" w:firstLineChars="200"/>
        <w:rPr>
          <w:rFonts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（一）发生</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保险条款第三条的保险事故，</w:t>
      </w:r>
      <w:r>
        <w:rPr>
          <w:rFonts w:ascii="宋体" w:hAnsi="宋体"/>
          <w:b/>
          <w:color w:val="000000" w:themeColor="text1"/>
          <w:szCs w:val="21"/>
          <w14:textFill>
            <w14:solidFill>
              <w14:schemeClr w14:val="tx1"/>
            </w14:solidFill>
          </w14:textFill>
        </w:rPr>
        <w:t>保险人在每次事故赔偿限额内计算赔偿；</w:t>
      </w:r>
    </w:p>
    <w:p>
      <w:pPr>
        <w:adjustRightInd w:val="0"/>
        <w:snapToGrid w:val="0"/>
        <w:spacing w:after="156" w:afterLines="50"/>
        <w:ind w:firstLine="420" w:firstLineChars="200"/>
        <w:rPr>
          <w:rFonts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）在保险期间内，</w:t>
      </w:r>
      <w:r>
        <w:rPr>
          <w:rFonts w:ascii="宋体" w:hAnsi="宋体"/>
          <w:b/>
          <w:color w:val="000000" w:themeColor="text1"/>
          <w:szCs w:val="21"/>
          <w14:textFill>
            <w14:solidFill>
              <w14:schemeClr w14:val="tx1"/>
            </w14:solidFill>
          </w14:textFill>
        </w:rPr>
        <w:t>保险人对多次事故损失的累计赔偿金额不超过累计赔偿限额。</w:t>
      </w:r>
    </w:p>
    <w:p>
      <w:pPr>
        <w:adjustRightInd w:val="0"/>
        <w:snapToGrid w:val="0"/>
        <w:spacing w:after="156" w:afterLines="50"/>
        <w:ind w:firstLine="420" w:firstLineChars="200"/>
        <w:rPr>
          <w:rFonts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三</w:t>
      </w:r>
      <w:r>
        <w:rPr>
          <w:rFonts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发生保险条款第四条的赔偿情形，</w:t>
      </w:r>
      <w:r>
        <w:rPr>
          <w:rFonts w:ascii="宋体" w:hAnsi="宋体"/>
          <w:color w:val="000000" w:themeColor="text1"/>
          <w:szCs w:val="21"/>
          <w14:textFill>
            <w14:solidFill>
              <w14:schemeClr w14:val="tx1"/>
            </w14:solidFill>
          </w14:textFill>
        </w:rPr>
        <w:t>对于应由被保险人支付的仲裁或诉讼费用以及经保险人同意支付的其他法律费用，保险人在</w:t>
      </w:r>
      <w:r>
        <w:rPr>
          <w:rFonts w:hint="eastAsia" w:ascii="宋体" w:hAnsi="宋体" w:cs="宋体"/>
          <w:color w:val="000000" w:themeColor="text1"/>
          <w:szCs w:val="21"/>
          <w14:textFill>
            <w14:solidFill>
              <w14:schemeClr w14:val="tx1"/>
            </w14:solidFill>
          </w14:textFill>
        </w:rPr>
        <w:t>每次事故赔偿限额</w:t>
      </w:r>
      <w:r>
        <w:rPr>
          <w:rFonts w:ascii="宋体" w:hAnsi="宋体"/>
          <w:color w:val="000000" w:themeColor="text1"/>
          <w:szCs w:val="21"/>
          <w14:textFill>
            <w14:solidFill>
              <w14:schemeClr w14:val="tx1"/>
            </w14:solidFill>
          </w14:textFill>
        </w:rPr>
        <w:t>以外另行计算，</w:t>
      </w:r>
      <w:r>
        <w:rPr>
          <w:rFonts w:ascii="宋体" w:hAnsi="宋体"/>
          <w:b/>
          <w:color w:val="000000" w:themeColor="text1"/>
          <w:szCs w:val="21"/>
          <w14:textFill>
            <w14:solidFill>
              <w14:schemeClr w14:val="tx1"/>
            </w14:solidFill>
          </w14:textFill>
        </w:rPr>
        <w:t>但赔偿限额不超过保险合同约定的法律费用每次事故赔偿限额及法律费用累计赔偿限额。</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四</w:t>
      </w:r>
      <w:r>
        <w:rPr>
          <w:rFonts w:ascii="宋体" w:hAnsi="宋体"/>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在任何情况下，保险人实际赔偿金额都不应超过本保险合同中所约定的各项赔偿限额</w:t>
      </w:r>
      <w:r>
        <w:rPr>
          <w:rFonts w:ascii="宋体" w:hAnsi="宋体"/>
          <w:color w:val="000000" w:themeColor="text1"/>
          <w:szCs w:val="21"/>
          <w14:textFill>
            <w14:solidFill>
              <w14:schemeClr w14:val="tx1"/>
            </w14:solidFill>
          </w14:textFill>
        </w:rPr>
        <w:t>。</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第二十</w:t>
      </w:r>
      <w:r>
        <w:rPr>
          <w:rFonts w:hint="eastAsia" w:ascii="宋体" w:hAnsi="宋体"/>
          <w:b/>
          <w:bCs/>
          <w:color w:val="000000" w:themeColor="text1"/>
          <w:szCs w:val="21"/>
          <w14:textFill>
            <w14:solidFill>
              <w14:schemeClr w14:val="tx1"/>
            </w14:solidFill>
          </w14:textFill>
        </w:rPr>
        <w:t>六</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本保险条款第三条所指经济赔偿责任参照</w:t>
      </w:r>
      <w:r>
        <w:rPr>
          <w:rFonts w:hint="eastAsia" w:ascii="宋体" w:hAnsi="宋体" w:cs="宋体"/>
          <w:color w:val="000000" w:themeColor="text1"/>
          <w:szCs w:val="21"/>
          <w14:textFill>
            <w14:solidFill>
              <w14:schemeClr w14:val="tx1"/>
            </w14:solidFill>
          </w14:textFill>
        </w:rPr>
        <w:t>《中</w:t>
      </w:r>
      <w:r>
        <w:rPr>
          <w:rFonts w:hint="eastAsia" w:ascii="宋体" w:hAnsi="宋体" w:cs="宋体"/>
          <w:color w:val="000000" w:themeColor="text1"/>
          <w:szCs w:val="21"/>
          <w:lang w:val="en-US" w:eastAsia="zh-CN"/>
          <w14:textFill>
            <w14:solidFill>
              <w14:schemeClr w14:val="tx1"/>
            </w14:solidFill>
          </w14:textFill>
        </w:rPr>
        <w:t>华</w:t>
      </w:r>
      <w:r>
        <w:rPr>
          <w:rFonts w:hint="eastAsia" w:ascii="宋体" w:hAnsi="宋体" w:cs="宋体"/>
          <w:color w:val="000000" w:themeColor="text1"/>
          <w:szCs w:val="21"/>
          <w14:textFill>
            <w14:solidFill>
              <w14:schemeClr w14:val="tx1"/>
            </w14:solidFill>
          </w14:textFill>
        </w:rPr>
        <w:t>人民共和国民法典》</w:t>
      </w:r>
      <w:r>
        <w:rPr>
          <w:rFonts w:ascii="宋体" w:hAnsi="宋体"/>
          <w:color w:val="000000" w:themeColor="text1"/>
          <w:szCs w:val="21"/>
          <w14:textFill>
            <w14:solidFill>
              <w14:schemeClr w14:val="tx1"/>
            </w14:solidFill>
          </w14:textFill>
        </w:rPr>
        <w:t>、《最高人民法院关于审理人身损害赔偿案件适用法律若干问题的解释》规定计算，具体赔偿项目包括：</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（一）患者因就医治疗支出的各项费用以及因误工减少的收入，包括医疗费、误工费、护理费、交通费、住宿费、住院伙食补助费、必要的营养费；</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患者因伤致残的，其因增加生活上需要所支出的必要费用以及因丧失劳动能力导致的收入损失，包括残疾赔偿金、残疾辅助器具费、被扶养人生活费，以及因康复护理、继续治疗实际发生的必要的康复费、护理费、后续治疗费；</w:t>
      </w:r>
      <w:r>
        <w:rPr>
          <w:rFonts w:hint="eastAsia" w:ascii="宋体" w:hAnsi="宋体" w:cs="宋体"/>
          <w:color w:val="000000" w:themeColor="text1"/>
          <w:szCs w:val="21"/>
          <w:shd w:val="clear" w:color="050000" w:fill="auto"/>
          <w14:textFill>
            <w14:solidFill>
              <w14:schemeClr w14:val="tx1"/>
            </w14:solidFill>
          </w14:textFill>
        </w:rPr>
        <w:t>残疾等级按照</w:t>
      </w:r>
      <w:r>
        <w:rPr>
          <w:rFonts w:hint="eastAsia" w:ascii="宋体" w:hAnsi="宋体" w:cs="宋体"/>
          <w:color w:val="000000" w:themeColor="text1"/>
          <w:szCs w:val="21"/>
          <w14:textFill>
            <w14:solidFill>
              <w14:schemeClr w14:val="tx1"/>
            </w14:solidFill>
          </w14:textFill>
        </w:rPr>
        <w:t>《人体损伤致残程度分级》</w:t>
      </w:r>
      <w:r>
        <w:rPr>
          <w:rFonts w:hint="eastAsia" w:ascii="宋体" w:hAnsi="宋体" w:cs="宋体"/>
          <w:color w:val="000000" w:themeColor="text1"/>
          <w:kern w:val="0"/>
          <w:szCs w:val="21"/>
          <w14:textFill>
            <w14:solidFill>
              <w14:schemeClr w14:val="tx1"/>
            </w14:solidFill>
          </w14:textFill>
        </w:rPr>
        <w:t>（最高人民法院、最高人民检察院、公安部、国家安全部、司法部2016年4月18日发布，司法部实施通知文号为司发通〔2016〕48号）</w:t>
      </w:r>
      <w:r>
        <w:rPr>
          <w:rFonts w:hint="eastAsia" w:ascii="宋体" w:hAnsi="宋体" w:cs="宋体"/>
          <w:color w:val="000000" w:themeColor="text1"/>
          <w:szCs w:val="21"/>
          <w14:textFill>
            <w14:solidFill>
              <w14:schemeClr w14:val="tx1"/>
            </w14:solidFill>
          </w14:textFill>
        </w:rPr>
        <w:t>确定，如有国家有关部门发布的新标准替代或修改前述《人体损伤致残程度分级》的，按新标准执行；</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（三）患者死亡的，除应当根据抢救治疗情况赔偿本条第（一）项规定的相关费用外，还应当赔偿丧葬费、被扶养人生活费、死亡赔偿金以及</w:t>
      </w:r>
      <w:r>
        <w:rPr>
          <w:rFonts w:hint="eastAsia" w:ascii="宋体" w:hAnsi="宋体" w:cs="宋体"/>
          <w:color w:val="000000" w:themeColor="text1"/>
          <w:szCs w:val="21"/>
          <w14:textFill>
            <w14:solidFill>
              <w14:schemeClr w14:val="tx1"/>
            </w14:solidFill>
          </w14:textFill>
        </w:rPr>
        <w:t>患者</w:t>
      </w:r>
      <w:r>
        <w:rPr>
          <w:rFonts w:ascii="宋体" w:hAnsi="宋体"/>
          <w:color w:val="000000" w:themeColor="text1"/>
          <w:szCs w:val="21"/>
          <w14:textFill>
            <w14:solidFill>
              <w14:schemeClr w14:val="tx1"/>
            </w14:solidFill>
          </w14:textFill>
        </w:rPr>
        <w:t>亲属办理丧葬事宜支出的交通费、住宿费和误工损失等其他合理费用；</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（四）患者或其近亲属遭受精神损害，经仲裁机构或法院判决、或经调解委员会酌情评鉴所需支付的精神损害抚慰金。</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第二十</w:t>
      </w:r>
      <w:r>
        <w:rPr>
          <w:rFonts w:hint="eastAsia" w:ascii="宋体" w:hAnsi="宋体"/>
          <w:b/>
          <w:bCs/>
          <w:color w:val="000000" w:themeColor="text1"/>
          <w:szCs w:val="21"/>
          <w14:textFill>
            <w14:solidFill>
              <w14:schemeClr w14:val="tx1"/>
            </w14:solidFill>
          </w14:textFill>
        </w:rPr>
        <w:t>七</w:t>
      </w:r>
      <w:r>
        <w:rPr>
          <w:rFonts w:ascii="宋体" w:hAnsi="宋体"/>
          <w:b/>
          <w:bCs/>
          <w:color w:val="000000" w:themeColor="text1"/>
          <w:szCs w:val="21"/>
          <w14:textFill>
            <w14:solidFill>
              <w14:schemeClr w14:val="tx1"/>
            </w14:solidFill>
          </w14:textFill>
        </w:rPr>
        <w:t xml:space="preserve">条  </w:t>
      </w:r>
      <w:r>
        <w:rPr>
          <w:rFonts w:ascii="宋体" w:hAnsi="宋体"/>
          <w:bCs/>
          <w:color w:val="000000" w:themeColor="text1"/>
          <w:szCs w:val="21"/>
          <w14:textFill>
            <w14:solidFill>
              <w14:schemeClr w14:val="tx1"/>
            </w14:solidFill>
          </w14:textFill>
        </w:rPr>
        <w:t>被保险人给患者造成损害，被保险人对患者应负的赔偿责任经和解、调解、诉讼或仲裁等程序已经确定的，根据被保险人的请求，保险人应当直接向患者赔偿保险金。被保险人怠于请求的，患者有权就其应获赔偿部分直接向保险人请求赔偿保险金。</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被保险人未向患者赔偿的，保险人不得向被保险人赔偿保险金。</w:t>
      </w:r>
    </w:p>
    <w:p>
      <w:pPr>
        <w:adjustRightInd w:val="0"/>
        <w:snapToGrid w:val="0"/>
        <w:spacing w:after="156" w:afterLines="50"/>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第二十</w:t>
      </w:r>
      <w:r>
        <w:rPr>
          <w:rFonts w:hint="eastAsia" w:ascii="宋体" w:hAnsi="宋体"/>
          <w:b/>
          <w:bCs/>
          <w:color w:val="000000" w:themeColor="text1"/>
          <w:szCs w:val="21"/>
          <w14:textFill>
            <w14:solidFill>
              <w14:schemeClr w14:val="tx1"/>
            </w14:solidFill>
          </w14:textFill>
        </w:rPr>
        <w:t>八</w:t>
      </w:r>
      <w:r>
        <w:rPr>
          <w:rFonts w:ascii="宋体" w:hAnsi="宋体"/>
          <w:b/>
          <w:bCs/>
          <w:color w:val="000000" w:themeColor="text1"/>
          <w:szCs w:val="21"/>
          <w14:textFill>
            <w14:solidFill>
              <w14:schemeClr w14:val="tx1"/>
            </w14:solidFill>
          </w14:textFill>
        </w:rPr>
        <w:t>条  投保人、被保险人应当投保全部医务人员，发生保险事故时，投保医务人员数不足实际医务人员数的，则保险人按照投保医务人员数与实际医务人员数的比例赔偿。</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w:t>
      </w:r>
      <w:r>
        <w:rPr>
          <w:rFonts w:hint="eastAsia" w:ascii="宋体" w:hAnsi="宋体"/>
          <w:b/>
          <w:bCs/>
          <w:color w:val="000000" w:themeColor="text1"/>
          <w:szCs w:val="21"/>
          <w14:textFill>
            <w14:solidFill>
              <w14:schemeClr w14:val="tx1"/>
            </w14:solidFill>
          </w14:textFill>
        </w:rPr>
        <w:t>二十九</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发生保险事故时，如果被保险人就其损失在有相同保障的其他保险项下也能够获得赔偿，</w:t>
      </w:r>
      <w:r>
        <w:rPr>
          <w:rFonts w:ascii="宋体" w:hAnsi="宋体"/>
          <w:b/>
          <w:color w:val="000000" w:themeColor="text1"/>
          <w:szCs w:val="21"/>
          <w14:textFill>
            <w14:solidFill>
              <w14:schemeClr w14:val="tx1"/>
            </w14:solidFill>
          </w14:textFill>
        </w:rPr>
        <w:t>则本保险人按照本保险合同的相应赔偿限额与其他保险合同及本保险合同的相应赔偿限额总和的比例承担赔偿责任。</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 xml:space="preserve">第三十条  </w:t>
      </w:r>
      <w:r>
        <w:rPr>
          <w:rFonts w:hint="eastAsia" w:ascii="宋体" w:hAnsi="宋体" w:cs="宋体"/>
          <w:color w:val="000000" w:themeColor="text1"/>
          <w:szCs w:val="21"/>
          <w14:textFill>
            <w14:solidFill>
              <w14:schemeClr w14:val="tx1"/>
            </w14:solidFill>
          </w14:textFill>
        </w:rPr>
        <w:t>因药品、消毒产品、医疗器械的缺陷，或者输入不合格的血液造成患者损害，应由药品上市许可持有人、生产者或者销售者、血液提供机构等有关责任方负责赔偿的，</w:t>
      </w:r>
      <w:r>
        <w:rPr>
          <w:rFonts w:ascii="宋体" w:hAnsi="宋体"/>
          <w:color w:val="000000" w:themeColor="text1"/>
          <w:szCs w:val="21"/>
          <w14:textFill>
            <w14:solidFill>
              <w14:schemeClr w14:val="tx1"/>
            </w14:solidFill>
          </w14:textFill>
        </w:rPr>
        <w:t>保险人自向被保险人赔偿保险金之日起，在赔偿金额范围内代位行使被保险人对以上有关责任方请求赔偿的权利，被保险人应当向保险人提供必要的文件和所知道的有关情况。</w:t>
      </w:r>
    </w:p>
    <w:p>
      <w:pPr>
        <w:adjustRightInd w:val="0"/>
        <w:snapToGrid w:val="0"/>
        <w:spacing w:after="156" w:afterLines="50"/>
        <w:ind w:firstLine="422" w:firstLine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被保险人已经从有关责任方取得赔偿的，保险人赔偿保险金时，可以相应扣减被保险人已从有关责任方取得的赔偿金额。</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保险事故发生后，在保险人未赔偿保险金之前，被保险人放弃对有关责任方请求赔偿权利的，保险人不承担赔偿责任；</w:t>
      </w:r>
      <w:r>
        <w:rPr>
          <w:rFonts w:ascii="宋体" w:hAnsi="宋体"/>
          <w:b/>
          <w:color w:val="000000" w:themeColor="text1"/>
          <w:szCs w:val="21"/>
          <w14:textFill>
            <w14:solidFill>
              <w14:schemeClr w14:val="tx1"/>
            </w14:solidFill>
          </w14:textFill>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adjustRightInd w:val="0"/>
        <w:snapToGrid w:val="0"/>
        <w:spacing w:after="156" w:afterLines="50"/>
        <w:ind w:firstLine="422" w:firstLineChars="200"/>
        <w:rPr>
          <w:rFonts w:ascii="宋体" w:hAnsi="宋体"/>
          <w:b/>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第三十</w:t>
      </w:r>
      <w:r>
        <w:rPr>
          <w:rFonts w:hint="eastAsia" w:ascii="宋体" w:hAnsi="宋体"/>
          <w:b/>
          <w:bCs/>
          <w:color w:val="000000" w:themeColor="text1"/>
          <w:szCs w:val="21"/>
          <w14:textFill>
            <w14:solidFill>
              <w14:schemeClr w14:val="tx1"/>
            </w14:solidFill>
          </w14:textFill>
        </w:rPr>
        <w:t>一</w:t>
      </w:r>
      <w:r>
        <w:rPr>
          <w:rFonts w:ascii="宋体" w:hAnsi="宋体"/>
          <w:b/>
          <w:bCs/>
          <w:color w:val="000000" w:themeColor="text1"/>
          <w:szCs w:val="21"/>
          <w14:textFill>
            <w14:solidFill>
              <w14:schemeClr w14:val="tx1"/>
            </w14:solidFill>
          </w14:textFill>
        </w:rPr>
        <w:t xml:space="preserve">条  </w:t>
      </w:r>
      <w:r>
        <w:rPr>
          <w:rFonts w:ascii="宋体" w:hAnsi="宋体"/>
          <w:b/>
          <w:color w:val="000000" w:themeColor="text1"/>
          <w:szCs w:val="21"/>
          <w14:textFill>
            <w14:solidFill>
              <w14:schemeClr w14:val="tx1"/>
            </w14:solidFill>
          </w14:textFill>
        </w:rPr>
        <w:t>在调解委员会主持下医患双方达成人民调解协议，或医患双方达成自行和解协议，保险人依此人民调解协议或自行和解协议及其他相关文件做出理赔决定并支付赔款后，不再接受医、患双方纠纷当事人就</w:t>
      </w:r>
      <w:r>
        <w:rPr>
          <w:rFonts w:hint="eastAsia" w:ascii="宋体" w:hAnsi="宋体"/>
          <w:b/>
          <w:color w:val="000000" w:themeColor="text1"/>
          <w:szCs w:val="21"/>
          <w14:textFill>
            <w14:solidFill>
              <w14:schemeClr w14:val="tx1"/>
            </w14:solidFill>
          </w14:textFill>
        </w:rPr>
        <w:t>该</w:t>
      </w:r>
      <w:r>
        <w:rPr>
          <w:rFonts w:ascii="宋体" w:hAnsi="宋体"/>
          <w:b/>
          <w:color w:val="000000" w:themeColor="text1"/>
          <w:szCs w:val="21"/>
          <w14:textFill>
            <w14:solidFill>
              <w14:schemeClr w14:val="tx1"/>
            </w14:solidFill>
          </w14:textFill>
        </w:rPr>
        <w:t>案已处理医疗损害事实的其他赔付责任，除非经司法诉讼或仲裁程序确定，但保险人就</w:t>
      </w:r>
      <w:r>
        <w:rPr>
          <w:rFonts w:hint="eastAsia" w:ascii="宋体" w:hAnsi="宋体"/>
          <w:b/>
          <w:color w:val="000000" w:themeColor="text1"/>
          <w:szCs w:val="21"/>
          <w14:textFill>
            <w14:solidFill>
              <w14:schemeClr w14:val="tx1"/>
            </w14:solidFill>
          </w14:textFill>
        </w:rPr>
        <w:t>该</w:t>
      </w:r>
      <w:r>
        <w:rPr>
          <w:rFonts w:ascii="宋体" w:hAnsi="宋体"/>
          <w:b/>
          <w:color w:val="000000" w:themeColor="text1"/>
          <w:szCs w:val="21"/>
          <w14:textFill>
            <w14:solidFill>
              <w14:schemeClr w14:val="tx1"/>
            </w14:solidFill>
          </w14:textFill>
        </w:rPr>
        <w:t>案的保险赔付总额仍以</w:t>
      </w:r>
      <w:r>
        <w:rPr>
          <w:rFonts w:hint="eastAsia" w:ascii="宋体" w:hAnsi="宋体"/>
          <w:b/>
          <w:color w:val="000000" w:themeColor="text1"/>
          <w:szCs w:val="21"/>
          <w14:textFill>
            <w14:solidFill>
              <w14:schemeClr w14:val="tx1"/>
            </w14:solidFill>
          </w14:textFill>
        </w:rPr>
        <w:t>本</w:t>
      </w:r>
      <w:r>
        <w:rPr>
          <w:rFonts w:ascii="宋体" w:hAnsi="宋体"/>
          <w:b/>
          <w:color w:val="000000" w:themeColor="text1"/>
          <w:szCs w:val="21"/>
          <w14:textFill>
            <w14:solidFill>
              <w14:schemeClr w14:val="tx1"/>
            </w14:solidFill>
          </w14:textFill>
        </w:rPr>
        <w:t>保险合同约定的最高赔偿限额为限。</w:t>
      </w:r>
    </w:p>
    <w:p>
      <w:pPr>
        <w:adjustRightInd w:val="0"/>
        <w:snapToGrid w:val="0"/>
        <w:spacing w:after="156" w:afterLines="50"/>
        <w:jc w:val="center"/>
        <w:rPr>
          <w:rFonts w:ascii="宋体" w:hAnsi="宋体"/>
          <w:b/>
          <w:bCs/>
          <w:color w:val="000000" w:themeColor="text1"/>
          <w:sz w:val="13"/>
          <w:szCs w:val="13"/>
          <w14:textFill>
            <w14:solidFill>
              <w14:schemeClr w14:val="tx1"/>
            </w14:solidFill>
          </w14:textFill>
        </w:rPr>
      </w:pP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争议处理和法律适用</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第三十</w:t>
      </w:r>
      <w:r>
        <w:rPr>
          <w:rFonts w:hint="eastAsia" w:ascii="宋体" w:hAnsi="宋体"/>
          <w:b/>
          <w:bCs/>
          <w:color w:val="000000" w:themeColor="text1"/>
          <w:szCs w:val="21"/>
          <w14:textFill>
            <w14:solidFill>
              <w14:schemeClr w14:val="tx1"/>
            </w14:solidFill>
          </w14:textFill>
        </w:rPr>
        <w:t>二</w:t>
      </w:r>
      <w:r>
        <w:rPr>
          <w:rFonts w:ascii="宋体" w:hAnsi="宋体"/>
          <w:b/>
          <w:bCs/>
          <w:color w:val="000000" w:themeColor="text1"/>
          <w:szCs w:val="21"/>
          <w14:textFill>
            <w14:solidFill>
              <w14:schemeClr w14:val="tx1"/>
            </w14:solidFill>
          </w14:textFill>
        </w:rPr>
        <w:t xml:space="preserve">条  </w:t>
      </w:r>
      <w:r>
        <w:rPr>
          <w:rFonts w:ascii="宋体" w:hAnsi="宋体"/>
          <w:color w:val="000000" w:themeColor="text1"/>
          <w:szCs w:val="21"/>
          <w14:textFill>
            <w14:solidFill>
              <w14:schemeClr w14:val="tx1"/>
            </w14:solidFill>
          </w14:textFill>
        </w:rPr>
        <w:t>因履行本保险合同发生的争议，由当事人调解、协商解决。协商不成的，提交本保险合同约定的仲裁机构仲裁；</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保险合同中未载明仲裁机构且争议发生后未达成仲裁协议的，当事人可依法向中华人民共和国境内（港澳台地区除外）人民法院起诉。</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第三十</w:t>
      </w:r>
      <w:r>
        <w:rPr>
          <w:rFonts w:hint="eastAsia" w:ascii="宋体" w:hAnsi="宋体"/>
          <w:b/>
          <w:bCs/>
          <w:color w:val="000000" w:themeColor="text1"/>
          <w:szCs w:val="21"/>
          <w14:textFill>
            <w14:solidFill>
              <w14:schemeClr w14:val="tx1"/>
            </w14:solidFill>
          </w14:textFill>
        </w:rPr>
        <w:t>三</w:t>
      </w:r>
      <w:r>
        <w:rPr>
          <w:rFonts w:ascii="宋体" w:hAnsi="宋体"/>
          <w:b/>
          <w:bCs/>
          <w:color w:val="000000" w:themeColor="text1"/>
          <w:szCs w:val="21"/>
          <w14:textFill>
            <w14:solidFill>
              <w14:schemeClr w14:val="tx1"/>
            </w14:solidFill>
          </w14:textFill>
        </w:rPr>
        <w:t>条</w:t>
      </w:r>
      <w:r>
        <w:rPr>
          <w:rFonts w:ascii="宋体" w:hAnsi="宋体"/>
          <w:color w:val="000000" w:themeColor="text1"/>
          <w:szCs w:val="21"/>
          <w14:textFill>
            <w14:solidFill>
              <w14:schemeClr w14:val="tx1"/>
            </w14:solidFill>
          </w14:textFill>
        </w:rPr>
        <w:t xml:space="preserve">  本保险合同的争议处理适用中华人民共和国法律（不包括香港、澳门、及台湾地区法律）。</w:t>
      </w:r>
    </w:p>
    <w:p>
      <w:pPr>
        <w:adjustRightInd w:val="0"/>
        <w:snapToGrid w:val="0"/>
        <w:spacing w:after="156" w:afterLines="50"/>
        <w:jc w:val="center"/>
        <w:rPr>
          <w:rFonts w:ascii="宋体" w:hAnsi="宋体"/>
          <w:b/>
          <w:bCs/>
          <w:color w:val="000000" w:themeColor="text1"/>
          <w:sz w:val="11"/>
          <w:szCs w:val="11"/>
          <w14:textFill>
            <w14:solidFill>
              <w14:schemeClr w14:val="tx1"/>
            </w14:solidFill>
          </w14:textFill>
        </w:rPr>
      </w:pP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其他事项</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第三十</w:t>
      </w:r>
      <w:r>
        <w:rPr>
          <w:rFonts w:hint="eastAsia" w:ascii="宋体" w:hAnsi="宋体"/>
          <w:b/>
          <w:bCs/>
          <w:color w:val="000000" w:themeColor="text1"/>
          <w:szCs w:val="21"/>
          <w14:textFill>
            <w14:solidFill>
              <w14:schemeClr w14:val="tx1"/>
            </w14:solidFill>
          </w14:textFill>
        </w:rPr>
        <w:t>四</w:t>
      </w:r>
      <w:r>
        <w:rPr>
          <w:rFonts w:ascii="宋体" w:hAnsi="宋体"/>
          <w:b/>
          <w:bCs/>
          <w:color w:val="000000" w:themeColor="text1"/>
          <w:szCs w:val="21"/>
          <w14:textFill>
            <w14:solidFill>
              <w14:schemeClr w14:val="tx1"/>
            </w14:solidFill>
          </w14:textFill>
        </w:rPr>
        <w:t>条</w:t>
      </w:r>
      <w:r>
        <w:rPr>
          <w:rFonts w:ascii="宋体" w:hAnsi="宋体"/>
          <w:color w:val="000000" w:themeColor="text1"/>
          <w:szCs w:val="21"/>
          <w14:textFill>
            <w14:solidFill>
              <w14:schemeClr w14:val="tx1"/>
            </w14:solidFill>
          </w14:textFill>
        </w:rPr>
        <w:t xml:space="preserve">  除法律另有规定或者</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保险合同另有约定外，保险合同成立后，保险人不得解除合同。</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第三十</w:t>
      </w:r>
      <w:r>
        <w:rPr>
          <w:rFonts w:hint="eastAsia" w:ascii="宋体" w:hAnsi="宋体"/>
          <w:b/>
          <w:bCs/>
          <w:color w:val="000000" w:themeColor="text1"/>
          <w:szCs w:val="21"/>
          <w14:textFill>
            <w14:solidFill>
              <w14:schemeClr w14:val="tx1"/>
            </w14:solidFill>
          </w14:textFill>
        </w:rPr>
        <w:t>五</w:t>
      </w:r>
      <w:r>
        <w:rPr>
          <w:rFonts w:ascii="宋体" w:hAnsi="宋体"/>
          <w:b/>
          <w:bCs/>
          <w:color w:val="000000" w:themeColor="text1"/>
          <w:szCs w:val="21"/>
          <w14:textFill>
            <w14:solidFill>
              <w14:schemeClr w14:val="tx1"/>
            </w14:solidFill>
          </w14:textFill>
        </w:rPr>
        <w:t>条</w:t>
      </w:r>
      <w:r>
        <w:rPr>
          <w:rFonts w:ascii="宋体" w:hAnsi="宋体"/>
          <w:color w:val="000000" w:themeColor="text1"/>
          <w:szCs w:val="21"/>
          <w14:textFill>
            <w14:solidFill>
              <w14:schemeClr w14:val="tx1"/>
            </w14:solidFill>
          </w14:textFill>
        </w:rPr>
        <w:t xml:space="preserve">  本保险合同成立后，投保人可随时书面通知保险人解除本保险合同。保险责任开始前，投保人要求解除本保险合同的，应当向保险人支付相当于</w:t>
      </w:r>
      <w:r>
        <w:rPr>
          <w:rFonts w:ascii="宋体" w:hAnsi="宋体"/>
          <w:b/>
          <w:color w:val="000000" w:themeColor="text1"/>
          <w:szCs w:val="21"/>
          <w14:textFill>
            <w14:solidFill>
              <w14:schemeClr w14:val="tx1"/>
            </w14:solidFill>
          </w14:textFill>
        </w:rPr>
        <w:t>保险费的2%的费用作为退保手续费</w:t>
      </w:r>
      <w:r>
        <w:rPr>
          <w:rFonts w:ascii="宋体" w:hAnsi="宋体"/>
          <w:color w:val="000000" w:themeColor="text1"/>
          <w:szCs w:val="21"/>
          <w14:textFill>
            <w14:solidFill>
              <w14:schemeClr w14:val="tx1"/>
            </w14:solidFill>
          </w14:textFill>
        </w:rPr>
        <w:t>，保险人应当退还</w:t>
      </w:r>
      <w:r>
        <w:rPr>
          <w:rFonts w:hint="eastAsia" w:ascii="宋体" w:hAnsi="宋体" w:cs="宋体"/>
          <w:color w:val="000000" w:themeColor="text1"/>
          <w:szCs w:val="21"/>
          <w14:textFill>
            <w14:solidFill>
              <w14:schemeClr w14:val="tx1"/>
            </w14:solidFill>
          </w14:textFill>
        </w:rPr>
        <w:t>剩余</w:t>
      </w:r>
      <w:r>
        <w:rPr>
          <w:rFonts w:ascii="宋体" w:hAnsi="宋体"/>
          <w:color w:val="000000" w:themeColor="text1"/>
          <w:szCs w:val="21"/>
          <w14:textFill>
            <w14:solidFill>
              <w14:schemeClr w14:val="tx1"/>
            </w14:solidFill>
          </w14:textFill>
        </w:rPr>
        <w:t>保险费；当符合本保险合同</w:t>
      </w:r>
      <w:r>
        <w:rPr>
          <w:rFonts w:hint="eastAsia" w:ascii="宋体" w:hAnsi="宋体" w:cs="宋体"/>
          <w:b/>
          <w:bCs/>
          <w:color w:val="000000" w:themeColor="text1"/>
          <w:szCs w:val="21"/>
          <w14:textFill>
            <w14:solidFill>
              <w14:schemeClr w14:val="tx1"/>
            </w14:solidFill>
          </w14:textFill>
        </w:rPr>
        <w:t>第十六、十八条</w:t>
      </w:r>
      <w:r>
        <w:rPr>
          <w:rFonts w:ascii="宋体" w:hAnsi="宋体"/>
          <w:color w:val="000000" w:themeColor="text1"/>
          <w:szCs w:val="21"/>
          <w14:textFill>
            <w14:solidFill>
              <w14:schemeClr w14:val="tx1"/>
            </w14:solidFill>
          </w14:textFill>
        </w:rPr>
        <w:t>约定</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情形时，保险人要求解除保险合同的，不得向投保人收取手续费并应退还已收取的保险费。</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保险责任开始后，投保人要求解除合同的，自通知保险人之日起，本保险合同解除，保险人将已收取的保险费，扣除按照自保险责任开始之日起至合同解除之日止期间与保险期间的</w:t>
      </w:r>
      <w:r>
        <w:rPr>
          <w:rFonts w:ascii="宋体" w:hAnsi="宋体"/>
          <w:b/>
          <w:color w:val="000000" w:themeColor="text1"/>
          <w:szCs w:val="21"/>
          <w14:textFill>
            <w14:solidFill>
              <w14:schemeClr w14:val="tx1"/>
            </w14:solidFill>
          </w14:textFill>
        </w:rPr>
        <w:t>日比例计收</w:t>
      </w:r>
      <w:r>
        <w:rPr>
          <w:rFonts w:ascii="宋体" w:hAnsi="宋体"/>
          <w:color w:val="000000" w:themeColor="text1"/>
          <w:szCs w:val="21"/>
          <w14:textFill>
            <w14:solidFill>
              <w14:schemeClr w14:val="tx1"/>
            </w14:solidFill>
          </w14:textFill>
        </w:rPr>
        <w:t>的保险费后，退还剩余部分的保险费；当符合本保险合同</w:t>
      </w:r>
      <w:r>
        <w:rPr>
          <w:rFonts w:hint="eastAsia" w:ascii="宋体" w:hAnsi="宋体" w:cs="宋体"/>
          <w:b/>
          <w:bCs/>
          <w:color w:val="000000" w:themeColor="text1"/>
          <w:szCs w:val="21"/>
          <w14:textFill>
            <w14:solidFill>
              <w14:schemeClr w14:val="tx1"/>
            </w14:solidFill>
          </w14:textFill>
        </w:rPr>
        <w:t>第十六、十八条</w:t>
      </w:r>
      <w:r>
        <w:rPr>
          <w:rFonts w:ascii="宋体" w:hAnsi="宋体"/>
          <w:color w:val="000000" w:themeColor="text1"/>
          <w:szCs w:val="21"/>
          <w14:textFill>
            <w14:solidFill>
              <w14:schemeClr w14:val="tx1"/>
            </w14:solidFill>
          </w14:textFill>
        </w:rPr>
        <w:t>约定</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情形时，</w:t>
      </w:r>
      <w:r>
        <w:rPr>
          <w:rFonts w:ascii="宋体" w:hAnsi="宋体"/>
          <w:b/>
          <w:color w:val="000000" w:themeColor="text1"/>
          <w:szCs w:val="21"/>
          <w14:textFill>
            <w14:solidFill>
              <w14:schemeClr w14:val="tx1"/>
            </w14:solidFill>
          </w14:textFill>
        </w:rPr>
        <w:t>保险人也可提前15日向投保人发出解约通知书解除本保险合同，</w:t>
      </w:r>
      <w:r>
        <w:rPr>
          <w:rFonts w:ascii="宋体" w:hAnsi="宋体"/>
          <w:color w:val="000000" w:themeColor="text1"/>
          <w:szCs w:val="21"/>
          <w14:textFill>
            <w14:solidFill>
              <w14:schemeClr w14:val="tx1"/>
            </w14:solidFill>
          </w14:textFill>
        </w:rPr>
        <w:t>并按保险责任开始之日起至保险合同解除之日止期间与保险期间的</w:t>
      </w:r>
      <w:r>
        <w:rPr>
          <w:rFonts w:ascii="宋体" w:hAnsi="宋体"/>
          <w:b/>
          <w:color w:val="000000" w:themeColor="text1"/>
          <w:szCs w:val="21"/>
          <w14:textFill>
            <w14:solidFill>
              <w14:schemeClr w14:val="tx1"/>
            </w14:solidFill>
          </w14:textFill>
        </w:rPr>
        <w:t>日比例计收</w:t>
      </w:r>
      <w:r>
        <w:rPr>
          <w:rFonts w:ascii="宋体" w:hAnsi="宋体"/>
          <w:color w:val="000000" w:themeColor="text1"/>
          <w:szCs w:val="21"/>
          <w14:textFill>
            <w14:solidFill>
              <w14:schemeClr w14:val="tx1"/>
            </w14:solidFill>
          </w14:textFill>
        </w:rPr>
        <w:t>保险费后，退还剩余部分的保险费。</w:t>
      </w:r>
    </w:p>
    <w:p>
      <w:pPr>
        <w:adjustRightInd w:val="0"/>
        <w:snapToGrid w:val="0"/>
        <w:spacing w:after="156" w:afterLines="5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释义</w:t>
      </w:r>
    </w:p>
    <w:p>
      <w:pPr>
        <w:adjustRightInd w:val="0"/>
        <w:snapToGrid w:val="0"/>
        <w:spacing w:after="156" w:afterLines="5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除非另有约定，本保险合同中有关名词的定义如下：</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医务人员</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是指在被保险医疗机构执业的经过国家有关部门考核、批准或承认，取得相应资格的各级各类卫生技术人员。在本保险合同中，卫生技术人员也包括医疗管理人员、外聘医务人员、进修生、外请会诊医务人员、符合多点执业条件的医务人员；在被保险医疗机构进行城乡医院对口支援、支援基层，与被保险医疗机构签订医疗机构帮扶或托管协议、来自同一医疗集团或同一医疗联合体在被保险医疗机构多点执业的医务人员；在被保险医疗机构参加慈善或公益性巡回医疗、义诊、突发事件或灾害事故医疗救援工作，参与实施基本和重大公共卫生服务项目的医务人员。</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医疗事故</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指医疗机构及其医务人员在医疗活动中，违反医疗卫生管理法律、行政法规、部门规章和诊疗护理规范、常规，过失造成患者人身损害的事故。</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w:t>
      </w:r>
      <w:r>
        <w:rPr>
          <w:rFonts w:ascii="宋体" w:hAnsi="宋体"/>
          <w:b/>
          <w:bCs/>
          <w:color w:val="000000" w:themeColor="text1"/>
          <w:szCs w:val="21"/>
          <w14:textFill>
            <w14:solidFill>
              <w14:schemeClr w14:val="tx1"/>
            </w14:solidFill>
          </w14:textFill>
        </w:rPr>
        <w:t>医疗损害</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医疗机构及其医务人员在诊疗活动中因执业过失造成的患者人身损害。</w:t>
      </w:r>
    </w:p>
    <w:p>
      <w:pPr>
        <w:widowControl/>
        <w:spacing w:after="156" w:afterLines="50"/>
        <w:ind w:firstLine="422" w:firstLineChars="200"/>
        <w:rPr>
          <w:rFonts w:ascii="宋体" w:hAnsi="宋体" w:cs="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w:t>
      </w:r>
      <w:r>
        <w:rPr>
          <w:rFonts w:ascii="宋体" w:hAnsi="宋体"/>
          <w:b/>
          <w:bCs/>
          <w:color w:val="000000" w:themeColor="text1"/>
          <w:szCs w:val="21"/>
          <w14:textFill>
            <w14:solidFill>
              <w14:schemeClr w14:val="tx1"/>
            </w14:solidFill>
          </w14:textFill>
        </w:rPr>
        <w:t>诊疗活动</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指通过各种检查，使用药物、器械及手术等方法，对疾病做出判断和消除疾病、缓解病情、减轻痛苦、改善功能、延长生命、帮助患者恢复健康的活动。</w:t>
      </w:r>
      <w:r>
        <w:rPr>
          <w:rFonts w:hint="eastAsia" w:ascii="宋体" w:hAnsi="宋体" w:cs="宋体"/>
          <w:color w:val="000000" w:themeColor="text1"/>
          <w:szCs w:val="21"/>
          <w14:textFill>
            <w14:solidFill>
              <w14:schemeClr w14:val="tx1"/>
            </w14:solidFill>
          </w14:textFill>
        </w:rPr>
        <w:t>包括为实现前述目的所必须的医疗美容，</w:t>
      </w:r>
      <w:r>
        <w:rPr>
          <w:rFonts w:hint="eastAsia" w:ascii="宋体" w:hAnsi="宋体" w:cs="宋体"/>
          <w:b/>
          <w:color w:val="000000" w:themeColor="text1"/>
          <w:szCs w:val="21"/>
          <w14:textFill>
            <w14:solidFill>
              <w14:schemeClr w14:val="tx1"/>
            </w14:solidFill>
          </w14:textFill>
        </w:rPr>
        <w:t>不包括单纯以改善容貌为目的的医疗美容</w:t>
      </w:r>
      <w:r>
        <w:rPr>
          <w:rFonts w:hint="eastAsia" w:ascii="宋体" w:hAnsi="宋体" w:cs="宋体"/>
          <w:color w:val="000000" w:themeColor="text1"/>
          <w:szCs w:val="21"/>
          <w14:textFill>
            <w14:solidFill>
              <w14:schemeClr w14:val="tx1"/>
            </w14:solidFill>
          </w14:textFill>
        </w:rPr>
        <w:t>。</w:t>
      </w:r>
    </w:p>
    <w:p>
      <w:pPr>
        <w:adjustRightInd w:val="0"/>
        <w:snapToGrid w:val="0"/>
        <w:spacing w:after="156" w:afterLines="50"/>
        <w:ind w:firstLine="420" w:firstLineChars="200"/>
        <w:rPr>
          <w:rFonts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保险合同中“诊疗活动”包含“护理工作”，护理工作主要是指医疗机构的医务人员的下述行为：密切观察患者的生命体征和病情变化；正确实施治疗、给药及护理措施，并观察、了解患者的反应；根据患者病情和生活自理能力提供照顾和帮助；提供护理相关的健康指导。</w:t>
      </w:r>
    </w:p>
    <w:p>
      <w:pPr>
        <w:widowControl/>
        <w:spacing w:after="156" w:afterLines="5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保险合同中诊疗活动同时包括健康体检诊疗活动以及被保险人提供健康教育、预防接种、儿童健康管理、孕产妇健康管理、老年人健康管理、慢性病（高血压、糖尿病）患者健康管理、严重精神障碍患者管理、结核患者健康管理、中医药健康管理等基本公共卫生服务活动，其中健康体检是指通过医学手段和方法对受检者进行身体检查，了解受检者健康状况、早期发现疾病线索和健康隐患的诊疗行为。</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w:t>
      </w:r>
      <w:r>
        <w:rPr>
          <w:rFonts w:ascii="宋体" w:hAnsi="宋体"/>
          <w:b/>
          <w:bCs/>
          <w:color w:val="000000" w:themeColor="text1"/>
          <w:szCs w:val="21"/>
          <w14:textFill>
            <w14:solidFill>
              <w14:schemeClr w14:val="tx1"/>
            </w14:solidFill>
          </w14:textFill>
        </w:rPr>
        <w:t>保险事故</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指保险合同约定的保险责任范围内的事故。</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w:t>
      </w:r>
      <w:r>
        <w:rPr>
          <w:rFonts w:ascii="宋体" w:hAnsi="宋体"/>
          <w:b/>
          <w:bCs/>
          <w:color w:val="000000" w:themeColor="text1"/>
          <w:szCs w:val="21"/>
          <w14:textFill>
            <w14:solidFill>
              <w14:schemeClr w14:val="tx1"/>
            </w14:solidFill>
          </w14:textFill>
        </w:rPr>
        <w:t>追溯期</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指保险合同当事人在保险合同中约定的从保险期间起始日向前追溯的一段时间,保险人对该段时间内发生且患者或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其近亲属或</w:t>
      </w:r>
      <w:r>
        <w:rPr>
          <w:rFonts w:hint="eastAsia" w:ascii="宋体" w:hAnsi="宋体"/>
          <w:color w:val="000000" w:themeColor="text1"/>
          <w:szCs w:val="21"/>
          <w14:textFill>
            <w14:solidFill>
              <w14:schemeClr w14:val="tx1"/>
            </w14:solidFill>
          </w14:textFill>
        </w:rPr>
        <w:t>者</w:t>
      </w:r>
      <w:r>
        <w:rPr>
          <w:rFonts w:ascii="宋体" w:hAnsi="宋体"/>
          <w:color w:val="000000" w:themeColor="text1"/>
          <w:szCs w:val="21"/>
          <w14:textFill>
            <w14:solidFill>
              <w14:schemeClr w14:val="tx1"/>
            </w14:solidFill>
          </w14:textFill>
        </w:rPr>
        <w:t>其代理人在保险期间内首次向被保险人提出赔偿请求的保险事故按照本保险合同约定承担赔偿责任。</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w:t>
      </w:r>
      <w:r>
        <w:rPr>
          <w:rFonts w:ascii="宋体" w:hAnsi="宋体"/>
          <w:b/>
          <w:bCs/>
          <w:color w:val="000000" w:themeColor="text1"/>
          <w:szCs w:val="21"/>
          <w14:textFill>
            <w14:solidFill>
              <w14:schemeClr w14:val="tx1"/>
            </w14:solidFill>
          </w14:textFill>
        </w:rPr>
        <w:t>重要事项</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直接关系保险双方当事人利益或足以影响保险人确定保险费率的各种因素。如被保险人的名称、所有制和经营性质、执业范围变更、医疗机构类型等。</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w:t>
      </w:r>
      <w:r>
        <w:rPr>
          <w:rFonts w:ascii="宋体" w:hAnsi="宋体"/>
          <w:b/>
          <w:bCs/>
          <w:color w:val="000000" w:themeColor="text1"/>
          <w:szCs w:val="21"/>
          <w14:textFill>
            <w14:solidFill>
              <w14:schemeClr w14:val="tx1"/>
            </w14:solidFill>
          </w14:textFill>
        </w:rPr>
        <w:t>从事</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投身到某项事业中去，是指一种固定的职业行为。</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9</w:t>
      </w:r>
      <w:r>
        <w:rPr>
          <w:rFonts w:hint="eastAsia" w:ascii="宋体" w:hAnsi="宋体"/>
          <w:b/>
          <w:bCs/>
          <w:color w:val="000000" w:themeColor="text1"/>
          <w:szCs w:val="21"/>
          <w14:textFill>
            <w14:solidFill>
              <w14:schemeClr w14:val="tx1"/>
            </w14:solidFill>
          </w14:textFill>
        </w:rPr>
        <w:t>、</w:t>
      </w:r>
      <w:r>
        <w:rPr>
          <w:rFonts w:ascii="宋体" w:hAnsi="宋体"/>
          <w:b/>
          <w:bCs/>
          <w:color w:val="000000" w:themeColor="text1"/>
          <w:szCs w:val="21"/>
          <w14:textFill>
            <w14:solidFill>
              <w14:schemeClr w14:val="tx1"/>
            </w14:solidFill>
          </w14:textFill>
        </w:rPr>
        <w:t>每次事故赔偿限额</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即保险人所承担的每次保险责任事故或同一原因引起的一系列保险责任事故的赔偿限额。</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10</w:t>
      </w:r>
      <w:r>
        <w:rPr>
          <w:rFonts w:hint="eastAsia" w:ascii="宋体" w:hAnsi="宋体"/>
          <w:b/>
          <w:bCs/>
          <w:color w:val="000000" w:themeColor="text1"/>
          <w:szCs w:val="21"/>
          <w14:textFill>
            <w14:solidFill>
              <w14:schemeClr w14:val="tx1"/>
            </w14:solidFill>
          </w14:textFill>
        </w:rPr>
        <w:t>、</w:t>
      </w:r>
      <w:r>
        <w:rPr>
          <w:rFonts w:ascii="宋体" w:hAnsi="宋体"/>
          <w:b/>
          <w:bCs/>
          <w:color w:val="000000" w:themeColor="text1"/>
          <w:szCs w:val="21"/>
          <w14:textFill>
            <w14:solidFill>
              <w14:schemeClr w14:val="tx1"/>
            </w14:solidFill>
          </w14:textFill>
        </w:rPr>
        <w:t>累计赔偿限额</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即在本保险合同约定的保险期间内保险人所承担的被保险人关于保险责任的最高赔偿限额。</w:t>
      </w:r>
    </w:p>
    <w:p>
      <w:pPr>
        <w:adjustRightInd w:val="0"/>
        <w:snapToGrid w:val="0"/>
        <w:spacing w:after="156" w:afterLines="50"/>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11</w:t>
      </w:r>
      <w:r>
        <w:rPr>
          <w:rFonts w:hint="eastAsia" w:ascii="宋体" w:hAnsi="宋体"/>
          <w:b/>
          <w:bCs/>
          <w:color w:val="000000" w:themeColor="text1"/>
          <w:szCs w:val="21"/>
          <w14:textFill>
            <w14:solidFill>
              <w14:schemeClr w14:val="tx1"/>
            </w14:solidFill>
          </w14:textFill>
        </w:rPr>
        <w:t>、</w:t>
      </w:r>
      <w:r>
        <w:rPr>
          <w:rFonts w:ascii="宋体" w:hAnsi="宋体"/>
          <w:b/>
          <w:bCs/>
          <w:color w:val="000000" w:themeColor="text1"/>
          <w:szCs w:val="21"/>
          <w14:textFill>
            <w14:solidFill>
              <w14:schemeClr w14:val="tx1"/>
            </w14:solidFill>
          </w14:textFill>
        </w:rPr>
        <w:t>与当时的医疗水平相应的诊疗义务</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即当时当地同一等级医疗机构的医疗水平相应的诊疗义务。常规情况下是否尽到与当时医疗水平相应的诊疗义务按照是否执行诊疗护理规范进行判断。非常规情况须采取必要诊疗措施的，须由两名以上医疗专家根据实际情况作出专业判断，一致认定此种措施确属必须，否则按常规情况予以判断。如法律法规有释义的依照法律法规的规定。</w:t>
      </w: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hint="eastAsia" w:ascii="宋体" w:hAnsi="宋体" w:eastAsia="宋体" w:cs="宋体"/>
          <w:b/>
          <w:bCs/>
          <w:color w:val="auto"/>
          <w:kern w:val="0"/>
          <w:szCs w:val="21"/>
          <w:highlight w:val="none"/>
          <w:lang w:eastAsia="zh-CN"/>
        </w:rPr>
      </w:pPr>
    </w:p>
    <w:p>
      <w:pPr>
        <w:autoSpaceDE w:val="0"/>
        <w:autoSpaceDN w:val="0"/>
        <w:adjustRightInd w:val="0"/>
        <w:spacing w:line="360" w:lineRule="auto"/>
        <w:ind w:right="145" w:rightChars="69"/>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color w:val="auto"/>
          <w:kern w:val="0"/>
          <w:szCs w:val="21"/>
          <w:highlight w:val="none"/>
        </w:rPr>
        <w:t xml:space="preserve">                         </w:t>
      </w:r>
    </w:p>
    <w:p>
      <w:pPr>
        <w:shd w:val="clear"/>
        <w:jc w:val="center"/>
        <w:rPr>
          <w:rFonts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广东省医疗责任保险赔偿处理办法（暂行）</w:t>
      </w:r>
    </w:p>
    <w:p>
      <w:pPr>
        <w:shd w:val="clear" w:color="auto"/>
        <w:spacing w:before="100" w:beforeAutospacing="1" w:after="100" w:afterAutospacing="1" w:line="360" w:lineRule="auto"/>
        <w:ind w:left="750" w:hanging="750"/>
        <w:jc w:val="center"/>
        <w:rPr>
          <w:rFonts w:hint="eastAsia" w:ascii="宋体" w:hAnsi="宋体" w:eastAsia="宋体" w:cs="宋体"/>
          <w:color w:val="auto"/>
          <w:kern w:val="2"/>
          <w:sz w:val="21"/>
          <w:szCs w:val="21"/>
          <w:highlight w:val="none"/>
        </w:rPr>
      </w:pPr>
      <w:bookmarkStart w:id="47" w:name="_Toc1829"/>
      <w:r>
        <w:rPr>
          <w:rFonts w:hint="eastAsia" w:ascii="宋体" w:hAnsi="宋体" w:eastAsia="宋体" w:cs="宋体"/>
          <w:b/>
          <w:bCs/>
          <w:color w:val="auto"/>
          <w:kern w:val="2"/>
          <w:sz w:val="21"/>
          <w:szCs w:val="21"/>
          <w:highlight w:val="none"/>
        </w:rPr>
        <w:t>第一章  总则</w:t>
      </w:r>
      <w:bookmarkEnd w:id="47"/>
    </w:p>
    <w:p>
      <w:pPr>
        <w:numPr>
          <w:ilvl w:val="2"/>
          <w:numId w:val="9"/>
        </w:numPr>
        <w:shd w:val="clear" w:color="auto"/>
        <w:spacing w:before="100" w:beforeAutospacing="1" w:after="100" w:afterAutospacing="1" w:line="360" w:lineRule="auto"/>
        <w:ind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为及时、准确处理医疗责任保险赔偿，保护医疗机构和患者的合法利益，促进广东省医疗责任保险持续发展，确保调赔结合机制长效稳定运行，特制订本办法。</w:t>
      </w:r>
    </w:p>
    <w:p>
      <w:pPr>
        <w:numPr>
          <w:ilvl w:val="2"/>
          <w:numId w:val="9"/>
        </w:numPr>
        <w:shd w:val="clear" w:color="auto"/>
        <w:spacing w:before="100" w:beforeAutospacing="1" w:after="100" w:afterAutospacing="1" w:line="360" w:lineRule="auto"/>
        <w:ind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广东省医疗责任保险全省统保项目涉及的所有赔偿处理事项，按照本办法规定执行。</w:t>
      </w:r>
    </w:p>
    <w:p>
      <w:pPr>
        <w:numPr>
          <w:ilvl w:val="2"/>
          <w:numId w:val="9"/>
        </w:numPr>
        <w:shd w:val="clear" w:color="auto"/>
        <w:spacing w:before="100" w:beforeAutospacing="1" w:after="100" w:afterAutospacing="1" w:line="360" w:lineRule="auto"/>
        <w:ind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医疗纠纷人民调解委员会（以下简称“医调委”）是经司法行政部门同意设立的行业性、专业性医患纠纷第三方人民调解组织。负责对参保医疗机构发生的医疗纠纷案件进行调查、调解</w:t>
      </w:r>
      <w:r>
        <w:rPr>
          <w:rFonts w:hint="eastAsia" w:ascii="宋体" w:hAnsi="宋体" w:eastAsia="宋体" w:cs="宋体"/>
          <w:b/>
          <w:bCs/>
          <w:color w:val="auto"/>
          <w:kern w:val="2"/>
          <w:sz w:val="21"/>
          <w:szCs w:val="21"/>
          <w:highlight w:val="none"/>
        </w:rPr>
        <w:t>。</w:t>
      </w:r>
    </w:p>
    <w:p>
      <w:pPr>
        <w:numPr>
          <w:ilvl w:val="2"/>
          <w:numId w:val="9"/>
        </w:numPr>
        <w:shd w:val="clear" w:color="auto"/>
        <w:spacing w:before="100" w:beforeAutospacing="1" w:after="100" w:afterAutospacing="1" w:line="360" w:lineRule="auto"/>
        <w:ind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广东和谐医患纠纷人民调解委员会（以下简称“广东和谐医调委”）是依托于广东省人民调解员协会，并经广东省司法厅同意设立的行业性、专业性的医患纠纷第三方人民调解组织</w:t>
      </w:r>
      <w:r>
        <w:rPr>
          <w:rFonts w:hint="eastAsia" w:ascii="宋体" w:hAnsi="宋体" w:eastAsia="宋体" w:cs="宋体"/>
          <w:b/>
          <w:bCs/>
          <w:color w:val="auto"/>
          <w:kern w:val="2"/>
          <w:sz w:val="21"/>
          <w:szCs w:val="21"/>
          <w:highlight w:val="none"/>
        </w:rPr>
        <w:t>。</w:t>
      </w:r>
    </w:p>
    <w:p>
      <w:pPr>
        <w:shd w:val="clear" w:color="auto"/>
        <w:spacing w:before="100" w:beforeAutospacing="1"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“广东和谐医调委”负责邀请医学、法律专家从专业角度对参保医疗机构发生的医疗纠纷案件进行性质认定、责任认定和赔偿损失认定，医学、法律专家的认定意见作为保险公司的理赔依据。</w:t>
      </w:r>
    </w:p>
    <w:p>
      <w:pPr>
        <w:numPr>
          <w:ilvl w:val="2"/>
          <w:numId w:val="9"/>
        </w:numPr>
        <w:shd w:val="clear" w:color="auto"/>
        <w:spacing w:before="100" w:beforeAutospacing="1" w:after="100" w:afterAutospacing="1" w:line="360" w:lineRule="auto"/>
        <w:ind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江泰保险经纪股份有限公司（以下简称“江泰保险经纪公司”)负责协助参保医疗机构对发生的医疗纠纷案件进行后续索赔，确保保险公司依法依约、及时赔付。</w:t>
      </w:r>
    </w:p>
    <w:p>
      <w:pPr>
        <w:numPr>
          <w:ilvl w:val="2"/>
          <w:numId w:val="9"/>
        </w:numPr>
        <w:shd w:val="clear" w:color="auto"/>
        <w:spacing w:before="100" w:beforeAutospacing="1"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参保医疗机构发生医疗纠纷案件后，应向“医调委”提出调解申请，“医调委”根据医疗纠纷案件双方当事人的申请进行调解处理。</w:t>
      </w:r>
      <w:r>
        <w:rPr>
          <w:rFonts w:hint="eastAsia" w:ascii="宋体" w:hAnsi="宋体" w:eastAsia="宋体" w:cs="宋体"/>
          <w:b/>
          <w:bCs/>
          <w:color w:val="auto"/>
          <w:kern w:val="2"/>
          <w:sz w:val="21"/>
          <w:szCs w:val="21"/>
          <w:highlight w:val="none"/>
        </w:rPr>
        <w:t xml:space="preserve">  </w:t>
      </w:r>
    </w:p>
    <w:p>
      <w:pPr>
        <w:numPr>
          <w:ilvl w:val="2"/>
          <w:numId w:val="9"/>
        </w:numPr>
        <w:shd w:val="clear" w:color="auto"/>
        <w:spacing w:before="100" w:beforeAutospacing="1"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医疗机构、保险公司对涉及医疗纠纷案件的性质认定、责任认定和赔偿损失认定等有重大异议，可以提请医疗责任保险赔案合议会（以下简称“合议会”）进行审议。</w:t>
      </w:r>
    </w:p>
    <w:p>
      <w:pPr>
        <w:numPr>
          <w:ilvl w:val="2"/>
          <w:numId w:val="9"/>
        </w:numPr>
        <w:shd w:val="clear" w:color="auto"/>
        <w:spacing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经“医调委”调解仍无法达成协议的医疗纠纷案件，调解员应引导医疗纠纷案件双方当事人依法申请医疗损害鉴定、医疗事故技术鉴定或通过司法诉讼、仲裁以及行政调解等合法方式解决纠纷。对于调解不成功，再通过法律规定程序和方式处理的医疗纠纷案件，保险公司依照相关法律规定并按照保险合同约定理赔。</w:t>
      </w:r>
    </w:p>
    <w:p>
      <w:pPr>
        <w:numPr>
          <w:ilvl w:val="2"/>
          <w:numId w:val="9"/>
        </w:numPr>
        <w:shd w:val="clear" w:color="auto"/>
        <w:spacing w:before="100" w:beforeAutospacing="1"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江泰保险经纪公司在协助参保医疗机构进行保险索赔时，应当遵循公正、公平的原则，依据事实和相关法律、法规、保险合同规定进行处理。</w:t>
      </w:r>
    </w:p>
    <w:p>
      <w:pPr>
        <w:shd w:val="clear" w:color="auto"/>
        <w:spacing w:before="100" w:beforeAutospacing="1" w:after="100" w:afterAutospacing="1" w:line="360" w:lineRule="auto"/>
        <w:ind w:left="750" w:hanging="750"/>
        <w:jc w:val="center"/>
        <w:rPr>
          <w:rFonts w:hint="eastAsia" w:ascii="宋体" w:hAnsi="宋体" w:eastAsia="宋体" w:cs="宋体"/>
          <w:color w:val="auto"/>
          <w:kern w:val="2"/>
          <w:sz w:val="21"/>
          <w:szCs w:val="21"/>
          <w:highlight w:val="none"/>
        </w:rPr>
      </w:pPr>
      <w:bookmarkStart w:id="48" w:name="_Toc27148"/>
      <w:r>
        <w:rPr>
          <w:rFonts w:hint="eastAsia" w:ascii="宋体" w:hAnsi="宋体" w:eastAsia="宋体" w:cs="宋体"/>
          <w:b/>
          <w:bCs/>
          <w:color w:val="auto"/>
          <w:kern w:val="2"/>
          <w:sz w:val="21"/>
          <w:szCs w:val="21"/>
          <w:highlight w:val="none"/>
        </w:rPr>
        <w:t>第二章  案件赔偿处理程序</w:t>
      </w:r>
      <w:bookmarkEnd w:id="48"/>
    </w:p>
    <w:p>
      <w:pPr>
        <w:numPr>
          <w:ilvl w:val="2"/>
          <w:numId w:val="9"/>
        </w:numPr>
        <w:shd w:val="clear" w:color="auto"/>
        <w:spacing w:before="100" w:beforeAutospacing="1" w:after="100" w:afterAutospacing="1" w:line="360" w:lineRule="auto"/>
        <w:ind w:left="0" w:firstLine="4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广东省医疗责任保险赔案处理按照以下程序执行。</w:t>
      </w:r>
    </w:p>
    <w:p>
      <w:pPr>
        <w:shd w:val="clear" w:color="auto"/>
        <w:spacing w:before="100" w:beforeAutospacing="1" w:after="100" w:afterAutospacing="1"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接、报案程序</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医疗纠纷案件发生时，参保医疗机构应及时通知“广东和谐医调委”和书面报案至</w:t>
      </w:r>
      <w:r>
        <w:rPr>
          <w:rFonts w:hint="eastAsia" w:ascii="宋体" w:hAnsi="宋体" w:eastAsia="宋体" w:cs="宋体"/>
          <w:bCs/>
          <w:color w:val="auto"/>
          <w:kern w:val="2"/>
          <w:sz w:val="21"/>
          <w:szCs w:val="21"/>
          <w:highlight w:val="none"/>
        </w:rPr>
        <w:t>广东医疗责任保险统保项目统一报案邮箱或在广东和谐医调委医疗纠纷信息系统报案</w:t>
      </w:r>
      <w:r>
        <w:rPr>
          <w:rFonts w:hint="eastAsia" w:ascii="宋体" w:hAnsi="宋体" w:eastAsia="宋体" w:cs="宋体"/>
          <w:color w:val="auto"/>
          <w:kern w:val="2"/>
          <w:sz w:val="21"/>
          <w:szCs w:val="21"/>
          <w:highlight w:val="none"/>
        </w:rPr>
        <w:t>。</w:t>
      </w:r>
    </w:p>
    <w:p>
      <w:pPr>
        <w:shd w:val="clear" w:color="auto"/>
        <w:spacing w:before="100" w:beforeAutospacing="1" w:after="100" w:afterAutospacing="1" w:line="360" w:lineRule="auto"/>
        <w:ind w:firstLine="422" w:firstLineChars="200"/>
        <w:jc w:val="center"/>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快速通道程序</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对事实清楚，法律责任明确，属于保险责任事故的医疗纠纷案件且双方当事人自主达成和解的案件适用本程序。</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依据保险合同授权，参保医疗机构可以在合同授权权限内与患者签署和解协议。参保医疗机构与患者达成和解协议、支付赔款的5个工作日之内，应将医患双方当事人主体材料、纠纷经过书面材料、和解赔偿（补偿）协议、赔款（补偿）支付证明等案件材料一并提交给“广东和谐医调委”。</w:t>
      </w:r>
    </w:p>
    <w:p>
      <w:pPr>
        <w:shd w:val="clear" w:color="auto"/>
        <w:spacing w:before="100" w:beforeAutospacing="1" w:after="100" w:afterAutospacing="1" w:line="360" w:lineRule="auto"/>
        <w:ind w:left="105" w:leftChars="50"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“广东和谐医调委”在收到案件材料的3个工作日内对案件进行登记、核实，并将上述材料提交给江泰保险经纪公司。</w:t>
      </w:r>
    </w:p>
    <w:p>
      <w:pPr>
        <w:shd w:val="clear" w:color="auto"/>
        <w:spacing w:before="100" w:beforeAutospacing="1" w:after="100" w:afterAutospacing="1" w:line="360" w:lineRule="auto"/>
        <w:ind w:left="105" w:leftChars="50"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江泰保险经纪公司对案件资料进行审核，对材料完备的案件于2个工作日内提交保险公司。对于案件材料不齐待补，或存在理赔争议的案件，江泰保险经纪公司应在案件材料补齐后，或理赔争议消除后的2个工作日内将全部材料提交保险公司。</w:t>
      </w:r>
    </w:p>
    <w:p>
      <w:pPr>
        <w:shd w:val="clear" w:color="auto"/>
        <w:spacing w:before="100" w:beforeAutospacing="1" w:after="100" w:afterAutospacing="1" w:line="360" w:lineRule="auto"/>
        <w:ind w:left="141" w:leftChars="67"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rPr>
        <w:t>保险公司在接到案件索赔材料后按保险合同约定的时效内向参保医疗机构赔偿，</w:t>
      </w:r>
      <w:r>
        <w:rPr>
          <w:rFonts w:hint="eastAsia" w:ascii="宋体" w:hAnsi="宋体" w:eastAsia="宋体" w:cs="宋体"/>
          <w:bCs/>
          <w:color w:val="auto"/>
          <w:kern w:val="2"/>
          <w:sz w:val="21"/>
          <w:szCs w:val="21"/>
          <w:highlight w:val="none"/>
        </w:rPr>
        <w:t>或依医疗机构申请，将赔偿款项直接支付给患方。</w:t>
      </w:r>
    </w:p>
    <w:p>
      <w:pPr>
        <w:shd w:val="clear" w:color="auto"/>
        <w:spacing w:before="100" w:beforeAutospacing="1" w:after="100" w:afterAutospacing="1" w:line="360" w:lineRule="auto"/>
        <w:ind w:left="141" w:leftChars="67" w:firstLine="422" w:firstLineChars="20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调解处理程序</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对于赔付金额</w:t>
      </w:r>
      <w:r>
        <w:rPr>
          <w:rFonts w:hint="eastAsia" w:ascii="宋体" w:hAnsi="宋体" w:eastAsia="宋体" w:cs="宋体"/>
          <w:bCs/>
          <w:color w:val="auto"/>
          <w:kern w:val="2"/>
          <w:sz w:val="21"/>
          <w:szCs w:val="21"/>
          <w:highlight w:val="none"/>
        </w:rPr>
        <w:t>（不含法律费用）</w:t>
      </w:r>
      <w:r>
        <w:rPr>
          <w:rFonts w:hint="eastAsia" w:ascii="宋体" w:hAnsi="宋体" w:eastAsia="宋体" w:cs="宋体"/>
          <w:color w:val="auto"/>
          <w:kern w:val="2"/>
          <w:sz w:val="21"/>
          <w:szCs w:val="21"/>
          <w:highlight w:val="none"/>
        </w:rPr>
        <w:t>在20万元以内（含20万元）的医疗纠纷案件，保险公司授权“广东和谐医调委”自主主导医疗纠纷案件双方当事人达成调解协议；“广东和谐医调委”在保险公司授权权限内成功调解的案件，应当在签署调解协议后自案件全部材料收集完毕之日起3个工作日内将相关材料、调解协议书副本提交江泰保险经纪公司。</w:t>
      </w:r>
    </w:p>
    <w:p>
      <w:pPr>
        <w:shd w:val="clea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江泰保险经纪公司对案件资料进行审核，对材料完备的案件于2个工作日内提交保险公司。对于案件材料不齐待补，或存在理赔争议的案件，江泰保险经纪公司应在案件材料补齐后，或理赔争议消除后的2个工作日内将全部材料提交保险公司。</w:t>
      </w:r>
    </w:p>
    <w:p>
      <w:pPr>
        <w:shd w:val="clear" w:color="auto"/>
        <w:spacing w:before="100" w:beforeAutospacing="1" w:after="100" w:afterAutospacing="1" w:line="360" w:lineRule="auto"/>
        <w:ind w:left="141" w:leftChars="67"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rPr>
        <w:t>保险公司在接到索赔案件材料后按保险合同约定的时效向参保医疗机构赔偿，</w:t>
      </w:r>
      <w:r>
        <w:rPr>
          <w:rFonts w:hint="eastAsia" w:ascii="宋体" w:hAnsi="宋体" w:eastAsia="宋体" w:cs="宋体"/>
          <w:bCs/>
          <w:color w:val="auto"/>
          <w:kern w:val="2"/>
          <w:sz w:val="21"/>
          <w:szCs w:val="21"/>
          <w:highlight w:val="none"/>
        </w:rPr>
        <w:t>或依医疗机构申请，将赔偿款项直接支付给患方。</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对赔付金额</w:t>
      </w:r>
      <w:r>
        <w:rPr>
          <w:rFonts w:hint="eastAsia" w:ascii="宋体" w:hAnsi="宋体" w:eastAsia="宋体" w:cs="宋体"/>
          <w:bCs/>
          <w:color w:val="auto"/>
          <w:kern w:val="2"/>
          <w:sz w:val="21"/>
          <w:szCs w:val="21"/>
          <w:highlight w:val="none"/>
        </w:rPr>
        <w:t>（不含法律费用）</w:t>
      </w:r>
      <w:r>
        <w:rPr>
          <w:rFonts w:hint="eastAsia" w:ascii="宋体" w:hAnsi="宋体" w:eastAsia="宋体" w:cs="宋体"/>
          <w:color w:val="auto"/>
          <w:kern w:val="2"/>
          <w:sz w:val="21"/>
          <w:szCs w:val="21"/>
          <w:highlight w:val="none"/>
        </w:rPr>
        <w:t>在20万元以上的医疗纠纷案件，“广东和谐医调委”应召开医疗责任保险赔案</w:t>
      </w: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会（以下简称“</w:t>
      </w: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会”），根据相应的法律法规对医疗纠纷案件进行性质认定、责任认定和赔偿损失认定。</w:t>
      </w:r>
    </w:p>
    <w:p>
      <w:pPr>
        <w:shd w:val="clear" w:color="auto"/>
        <w:spacing w:before="100" w:beforeAutospacing="1" w:after="100" w:afterAutospacing="1" w:line="360" w:lineRule="auto"/>
        <w:ind w:left="105" w:leftChars="50"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保险公司应根据</w:t>
      </w: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会的认定结论和医疗纠纷案件双方当事人签署的调解协议做出理赔决定并支付保险赔偿金，或依医疗机构申请，将赔偿款项直接支付给患方。</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会由人民调解员主持、医学专家、法律专家、保险公司代表列席。参加</w:t>
      </w: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会的医学和法律专家从“广东和谐医调委”建立的专家库中选取。</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会原则上设不少于4个表决席位，其中医学专家表决席位不少于3个，法律专家表决席位不少于1个。提请</w:t>
      </w: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会审议的医疗纠纷案件由医学专家、法律专家共同负责医疗纠纷案件的性质认定和责任认定；由法律专家负责赔偿损失认定。</w:t>
      </w:r>
    </w:p>
    <w:p>
      <w:pPr>
        <w:shd w:val="clear" w:color="auto"/>
        <w:spacing w:before="100" w:beforeAutospacing="1" w:after="100" w:afterAutospacing="1" w:line="360" w:lineRule="auto"/>
        <w:ind w:left="105" w:leftChars="50"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会工作结束后，由参加</w:t>
      </w: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的成员应签字确认</w:t>
      </w: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结果，该结果将作为人民调解员的调解依据</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会成员在鉴定医疗纠纷案件时，如果与医疗纠纷案件双方当事人存在利害关系，应当回避。</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负责医疗纠纷案件调解的人民调解员应当在签署调解协议后自案件全部材料收集完毕之日起3个工作日内将案件相关材料和调解协议书提交江泰保险经纪公司。</w:t>
      </w:r>
    </w:p>
    <w:p>
      <w:pPr>
        <w:shd w:val="clea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江泰保险经纪公司对案件资料进行审核，对材料完备的案件于2个工作日内提交保险公司。对于案件材料不齐待补，或存在理赔争议的案件，江泰保险经纪公司应在案件材料补齐后，或理赔争议消除后的2个工作日内将全部材料提交保险公司。</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保险公司在接到</w:t>
      </w:r>
      <w:r>
        <w:rPr>
          <w:rFonts w:hint="eastAsia" w:ascii="宋体" w:hAnsi="宋体" w:eastAsia="宋体" w:cs="宋体"/>
          <w:color w:val="auto"/>
          <w:kern w:val="2"/>
          <w:sz w:val="21"/>
          <w:szCs w:val="21"/>
          <w:highlight w:val="none"/>
          <w:lang w:eastAsia="zh-CN"/>
        </w:rPr>
        <w:t>听证</w:t>
      </w:r>
      <w:r>
        <w:rPr>
          <w:rFonts w:hint="eastAsia" w:ascii="宋体" w:hAnsi="宋体" w:eastAsia="宋体" w:cs="宋体"/>
          <w:color w:val="auto"/>
          <w:kern w:val="2"/>
          <w:sz w:val="21"/>
          <w:szCs w:val="21"/>
          <w:highlight w:val="none"/>
        </w:rPr>
        <w:t>结论、调解协议书副本和案件相关材料后按保险合同约定的时效向参保医疗机构赔偿，或依医疗机构申请，将赔偿款项直接支付给患方。</w:t>
      </w:r>
    </w:p>
    <w:p>
      <w:pPr>
        <w:shd w:val="clear" w:color="auto"/>
        <w:spacing w:before="100" w:beforeAutospacing="1" w:after="100" w:afterAutospacing="1" w:line="360" w:lineRule="auto"/>
        <w:ind w:left="750" w:firstLine="422" w:firstLineChars="200"/>
        <w:jc w:val="center"/>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其它处理程序</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医疗纠纷案件双方当事人通过行政调解、仲裁或诉讼的案件，保险公司依法按照保险合同约定进行赔偿。</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参保医疗机构依据生效的行政调解书、仲裁裁决书、法院裁定书、法院判决书赔偿患者后，将赔付证明连同有关证明材料提交“广东和谐医调委”，“广东和谐医调委”经调查核实后转江泰保险经纪公司提交保险公司，经保险公司审核属实且符合广东医疗责任保险理赔范围的，保险公司在收到所有材料后按照保险服务承诺时效向医疗机构支付赔款，或依医疗机构申请，将赔偿款项直接支付给患方。</w:t>
      </w:r>
    </w:p>
    <w:p>
      <w:pPr>
        <w:shd w:val="clear" w:color="auto"/>
        <w:spacing w:before="100" w:beforeAutospacing="1" w:after="100" w:afterAutospacing="1" w:line="360" w:lineRule="auto"/>
        <w:ind w:left="105" w:leftChars="50"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对于依据行政调解书、仲裁庭或法院出具的和（调）解书所确定的赔偿，保险公司有异议的，可以要求“广东和谐医调委”组织专家分析，保险公司根据专家分析意见并在收到所有材料后按保险合同约定的时效向医疗机构支付赔款，或依医疗机构申请，将赔偿款项直接支付给患方。</w:t>
      </w:r>
    </w:p>
    <w:p>
      <w:pPr>
        <w:numPr>
          <w:ilvl w:val="2"/>
          <w:numId w:val="9"/>
        </w:numPr>
        <w:shd w:val="clear" w:color="auto"/>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医疗诉讼/仲裁案件由江泰保险经纪公司推荐的律师或者应医疗机构推荐的律师代理应诉，代理律师应取得医疗机构授权委托书；在医疗机构、保险公司共同确定代理律师后，由律师、医疗机构、保险公司签定委托代理合同。律师代理费按照本合同约定的律师费收费标准执行</w:t>
      </w:r>
      <w:r>
        <w:rPr>
          <w:rFonts w:hint="eastAsia" w:ascii="宋体" w:hAnsi="宋体" w:eastAsia="宋体" w:cs="宋体"/>
          <w:bCs/>
          <w:color w:val="auto"/>
          <w:kern w:val="2"/>
          <w:sz w:val="21"/>
          <w:szCs w:val="21"/>
          <w:highlight w:val="none"/>
        </w:rPr>
        <w:t>，律师代理费由保险公司按规定支付。</w:t>
      </w:r>
    </w:p>
    <w:p>
      <w:pPr>
        <w:numPr>
          <w:ilvl w:val="2"/>
          <w:numId w:val="9"/>
        </w:numPr>
        <w:shd w:val="clear" w:color="auto"/>
        <w:spacing w:before="100" w:beforeAutospacing="1" w:after="100" w:afterAutospacing="1" w:line="360" w:lineRule="auto"/>
        <w:ind w:firstLine="422" w:firstLineChars="200"/>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color w:val="auto"/>
          <w:kern w:val="2"/>
          <w:sz w:val="21"/>
          <w:szCs w:val="21"/>
          <w:highlight w:val="none"/>
        </w:rPr>
        <w:t>广东和谐医调委”应积极与各地政府、司法等部门组建成立的人民调解组织或第三方调解援助机构密切协作，根据实际情况和各项条件作好参保医疗机构的医疗损害赔偿处理工作。</w:t>
      </w:r>
    </w:p>
    <w:p>
      <w:pPr>
        <w:shd w:val="clear" w:color="auto"/>
        <w:spacing w:before="100" w:beforeAutospacing="1" w:after="100" w:afterAutospacing="1" w:line="360" w:lineRule="auto"/>
        <w:ind w:firstLine="422" w:firstLineChars="200"/>
        <w:jc w:val="center"/>
        <w:rPr>
          <w:rFonts w:hint="eastAsia" w:ascii="宋体" w:hAnsi="宋体" w:eastAsia="宋体" w:cs="宋体"/>
          <w:color w:val="auto"/>
          <w:kern w:val="2"/>
          <w:sz w:val="21"/>
          <w:szCs w:val="21"/>
          <w:highlight w:val="none"/>
        </w:rPr>
      </w:pPr>
      <w:bookmarkStart w:id="49" w:name="_Toc2159"/>
      <w:bookmarkStart w:id="50" w:name="_Toc10290"/>
      <w:bookmarkStart w:id="51" w:name="_Toc26306"/>
      <w:r>
        <w:rPr>
          <w:rFonts w:hint="eastAsia" w:ascii="宋体" w:hAnsi="宋体" w:eastAsia="宋体" w:cs="宋体"/>
          <w:b/>
          <w:bCs/>
          <w:color w:val="auto"/>
          <w:kern w:val="2"/>
          <w:sz w:val="21"/>
          <w:szCs w:val="21"/>
          <w:highlight w:val="none"/>
        </w:rPr>
        <w:t>第三章 合议会程序</w:t>
      </w:r>
      <w:bookmarkEnd w:id="49"/>
      <w:bookmarkEnd w:id="50"/>
      <w:bookmarkEnd w:id="51"/>
    </w:p>
    <w:p>
      <w:pPr>
        <w:numPr>
          <w:ilvl w:val="2"/>
          <w:numId w:val="9"/>
        </w:numPr>
        <w:shd w:val="clear"/>
        <w:spacing w:before="100" w:beforeAutospacing="1" w:after="100" w:afterAutospacing="1"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医疗机构、保险公司对涉及医疗纠纷案件的性质认定、责任认定和赔偿损失认定等有重大异议，可以提请医疗责任保险赔案合议会（以下简称“合议会”）进行审议或申请司法鉴定。保险公司应依据合议决定或司法鉴定结论做出理赔决定。</w:t>
      </w:r>
    </w:p>
    <w:p>
      <w:pPr>
        <w:numPr>
          <w:ilvl w:val="2"/>
          <w:numId w:val="9"/>
        </w:numPr>
        <w:shd w:val="clear"/>
        <w:spacing w:before="100" w:beforeAutospacing="1" w:after="100" w:afterAutospacing="1"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rPr>
        <w:t>合议会由“广东和谐医调委”组织召开。会议成员由保险公司代表及其医学及法律专家、广东和谐医调委代表、医疗机构代表、广东和谐医调委邀请的医学及法律专家组成。在事实清楚、责任明确的基础上，充分协商做出会议决定，并由参会人员签字确认。</w:t>
      </w:r>
    </w:p>
    <w:p>
      <w:pPr>
        <w:widowControl/>
        <w:numPr>
          <w:ilvl w:val="2"/>
          <w:numId w:val="9"/>
        </w:numPr>
        <w:shd w:val="clear"/>
        <w:spacing w:before="100" w:beforeAutospacing="1" w:after="100" w:afterAutospacing="1" w:line="360" w:lineRule="auto"/>
        <w:ind w:firstLine="422"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 xml:space="preserve"> </w:t>
      </w:r>
      <w:r>
        <w:rPr>
          <w:rFonts w:hint="eastAsia" w:ascii="宋体" w:hAnsi="宋体" w:eastAsia="宋体" w:cs="宋体"/>
          <w:color w:val="auto"/>
          <w:kern w:val="2"/>
          <w:sz w:val="21"/>
          <w:szCs w:val="21"/>
          <w:highlight w:val="none"/>
        </w:rPr>
        <w:t>按照合议决定成功调解的医疗纠纷案件，负责调解的人民调解员应当在医疗纠纷案件双方当事人签订调解协议后的3个工作日内将合议决定、调解协议书副本和案件相关材料提交江泰保险经纪公司。</w:t>
      </w:r>
    </w:p>
    <w:p>
      <w:pPr>
        <w:widowControl/>
        <w:numPr>
          <w:ilvl w:val="2"/>
          <w:numId w:val="9"/>
        </w:numPr>
        <w:shd w:val="clear"/>
        <w:spacing w:before="100" w:beforeAutospacing="1"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江泰保险经纪公司在接到合议决定、调解协议书副本和案件相关材料后的2个工作日内向保险公司提交。</w:t>
      </w:r>
    </w:p>
    <w:p>
      <w:pPr>
        <w:shd w:val="clear" w:color="auto"/>
        <w:spacing w:before="100" w:beforeAutospacing="1" w:after="100" w:afterAutospacing="1" w:line="360" w:lineRule="auto"/>
        <w:ind w:left="141" w:leftChars="67"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对于案件材料不齐待补的案件，江泰保险经纪公司应在案件材料补齐后的2个工作日内将全部材料提交保险公司。</w:t>
      </w:r>
    </w:p>
    <w:p>
      <w:pPr>
        <w:widowControl/>
        <w:numPr>
          <w:ilvl w:val="2"/>
          <w:numId w:val="9"/>
        </w:numPr>
        <w:shd w:val="clear"/>
        <w:spacing w:before="100" w:beforeAutospacing="1"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保险公司在接到合议决定、调解协议书副本和相关材料后按保险服务承诺的时效向参保医疗机构赔偿，或依医疗机构申请，将赔偿款项直接支付给患方。</w:t>
      </w:r>
    </w:p>
    <w:p>
      <w:pPr>
        <w:widowControl/>
        <w:numPr>
          <w:ilvl w:val="2"/>
          <w:numId w:val="9"/>
        </w:numPr>
        <w:shd w:val="clear"/>
        <w:spacing w:before="100" w:beforeAutospacing="1"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医疗</w:t>
      </w:r>
      <w:r>
        <w:rPr>
          <w:rFonts w:hint="eastAsia" w:ascii="宋体" w:hAnsi="宋体" w:eastAsia="宋体" w:cs="宋体"/>
          <w:bCs/>
          <w:color w:val="auto"/>
          <w:kern w:val="2"/>
          <w:sz w:val="21"/>
          <w:szCs w:val="21"/>
          <w:highlight w:val="none"/>
        </w:rPr>
        <w:t>机构、保险公司不接受 “合议会” 就保险理赔作出的决定，任一方可通过司法诉讼或仲裁途径处理保险理赔争议，保险公司按照司法诉讼或仲裁结果进行赔付。</w:t>
      </w:r>
    </w:p>
    <w:p>
      <w:pPr>
        <w:shd w:val="clear" w:color="auto"/>
        <w:tabs>
          <w:tab w:val="left" w:pos="1316"/>
          <w:tab w:val="center" w:pos="4955"/>
        </w:tabs>
        <w:spacing w:before="100" w:beforeAutospacing="1" w:after="100" w:afterAutospacing="1" w:line="360" w:lineRule="auto"/>
        <w:ind w:left="750" w:firstLine="3162" w:firstLineChars="1500"/>
        <w:jc w:val="both"/>
        <w:rPr>
          <w:rFonts w:hint="eastAsia" w:ascii="宋体" w:hAnsi="宋体" w:eastAsia="宋体" w:cs="宋体"/>
          <w:color w:val="auto"/>
          <w:kern w:val="2"/>
          <w:sz w:val="21"/>
          <w:szCs w:val="21"/>
          <w:highlight w:val="none"/>
        </w:rPr>
      </w:pPr>
      <w:bookmarkStart w:id="52" w:name="_Toc5248"/>
      <w:bookmarkStart w:id="53" w:name="_Toc3167"/>
      <w:bookmarkStart w:id="54" w:name="_Toc26407"/>
      <w:r>
        <w:rPr>
          <w:rFonts w:hint="eastAsia" w:ascii="宋体" w:hAnsi="宋体" w:eastAsia="宋体" w:cs="宋体"/>
          <w:b/>
          <w:bCs/>
          <w:color w:val="auto"/>
          <w:kern w:val="2"/>
          <w:sz w:val="21"/>
          <w:szCs w:val="21"/>
          <w:highlight w:val="none"/>
        </w:rPr>
        <w:t>第四章  附则</w:t>
      </w:r>
      <w:bookmarkEnd w:id="52"/>
      <w:bookmarkEnd w:id="53"/>
      <w:bookmarkEnd w:id="54"/>
    </w:p>
    <w:p>
      <w:pPr>
        <w:widowControl/>
        <w:numPr>
          <w:ilvl w:val="2"/>
          <w:numId w:val="9"/>
        </w:numPr>
        <w:shd w:val="clear"/>
        <w:spacing w:before="100" w:beforeAutospacing="1"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参与医疗责任保险赔案处理的各方应当严格遵守本办法规定并遵照执行，如有违反，应当及时纠正，拒不纠正的视为构成对广东省医疗责任保险的违约行为，“广东和谐医调委”有权根据相应规定进行处理。</w:t>
      </w:r>
    </w:p>
    <w:p>
      <w:pPr>
        <w:widowControl/>
        <w:numPr>
          <w:ilvl w:val="2"/>
          <w:numId w:val="9"/>
        </w:numPr>
        <w:shd w:val="clear"/>
        <w:spacing w:before="100" w:beforeAutospacing="1"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本办法涉及的各方对医患双方负有保密义务。未经医患双方同意不得泄露患者隐私。</w:t>
      </w:r>
    </w:p>
    <w:p>
      <w:pPr>
        <w:widowControl/>
        <w:numPr>
          <w:ilvl w:val="2"/>
          <w:numId w:val="9"/>
        </w:numPr>
        <w:shd w:val="clear"/>
        <w:spacing w:before="100" w:beforeAutospacing="1" w:after="100" w:afterAutospacing="1"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本办法为广东省医疗责任保险的组成部分，由“广东和谐医调委”负责制订、修改、解释。</w:t>
      </w:r>
    </w:p>
    <w:p>
      <w:pPr>
        <w:shd w:val="clea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本办法自</w:t>
      </w:r>
      <w:r>
        <w:rPr>
          <w:rFonts w:hint="eastAsia" w:ascii="宋体" w:hAnsi="宋体" w:eastAsia="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日起施行。</w:t>
      </w:r>
    </w:p>
    <w:bookmarkEnd w:id="42"/>
    <w:bookmarkEnd w:id="43"/>
    <w:p>
      <w:pPr>
        <w:shd w:val="clear"/>
        <w:spacing w:line="460" w:lineRule="exact"/>
        <w:ind w:firstLine="638" w:firstLineChars="228"/>
        <w:rPr>
          <w:rFonts w:hint="eastAsia" w:ascii="宋体" w:hAnsi="宋体" w:eastAsia="宋体" w:cs="宋体"/>
          <w:color w:val="auto"/>
          <w:sz w:val="28"/>
          <w:szCs w:val="28"/>
          <w:highlight w:val="none"/>
        </w:rPr>
      </w:pP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70</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E4D13"/>
    <w:multiLevelType w:val="singleLevel"/>
    <w:tmpl w:val="A6FE4D13"/>
    <w:lvl w:ilvl="0" w:tentative="0">
      <w:start w:val="4"/>
      <w:numFmt w:val="chineseCounting"/>
      <w:suff w:val="nothing"/>
      <w:lvlText w:val="（%1）"/>
      <w:lvlJc w:val="left"/>
      <w:rPr>
        <w:rFonts w:hint="eastAsia"/>
      </w:rPr>
    </w:lvl>
  </w:abstractNum>
  <w:abstractNum w:abstractNumId="1">
    <w:nsid w:val="CDF56440"/>
    <w:multiLevelType w:val="singleLevel"/>
    <w:tmpl w:val="CDF56440"/>
    <w:lvl w:ilvl="0" w:tentative="0">
      <w:start w:val="1"/>
      <w:numFmt w:val="chineseCounting"/>
      <w:suff w:val="nothing"/>
      <w:lvlText w:val="%1、"/>
      <w:lvlJc w:val="left"/>
      <w:rPr>
        <w:rFonts w:hint="eastAsia"/>
      </w:rPr>
    </w:lvl>
  </w:abstractNum>
  <w:abstractNum w:abstractNumId="2">
    <w:nsid w:val="E1A027A1"/>
    <w:multiLevelType w:val="singleLevel"/>
    <w:tmpl w:val="E1A027A1"/>
    <w:lvl w:ilvl="0" w:tentative="0">
      <w:start w:val="1"/>
      <w:numFmt w:val="decimal"/>
      <w:suff w:val="nothing"/>
      <w:lvlText w:val="%1、"/>
      <w:lvlJc w:val="left"/>
    </w:lvl>
  </w:abstractNum>
  <w:abstractNum w:abstractNumId="3">
    <w:nsid w:val="E3C3D614"/>
    <w:multiLevelType w:val="singleLevel"/>
    <w:tmpl w:val="E3C3D614"/>
    <w:lvl w:ilvl="0" w:tentative="0">
      <w:start w:val="1"/>
      <w:numFmt w:val="decimal"/>
      <w:suff w:val="nothing"/>
      <w:lvlText w:val="%1、"/>
      <w:lvlJc w:val="left"/>
      <w:pPr>
        <w:ind w:left="385" w:leftChars="0" w:firstLine="0" w:firstLineChars="0"/>
      </w:pPr>
    </w:lvl>
  </w:abstractNum>
  <w:abstractNum w:abstractNumId="4">
    <w:nsid w:val="FF2C0791"/>
    <w:multiLevelType w:val="singleLevel"/>
    <w:tmpl w:val="FF2C0791"/>
    <w:lvl w:ilvl="0" w:tentative="0">
      <w:start w:val="1"/>
      <w:numFmt w:val="decimal"/>
      <w:suff w:val="nothing"/>
      <w:lvlText w:val="%1、"/>
      <w:lvlJc w:val="left"/>
      <w:pPr>
        <w:ind w:left="210"/>
      </w:pPr>
    </w:lvl>
  </w:abstractNum>
  <w:abstractNum w:abstractNumId="5">
    <w:nsid w:val="2977E4AD"/>
    <w:multiLevelType w:val="singleLevel"/>
    <w:tmpl w:val="2977E4AD"/>
    <w:lvl w:ilvl="0" w:tentative="0">
      <w:start w:val="5"/>
      <w:numFmt w:val="chineseCounting"/>
      <w:suff w:val="nothing"/>
      <w:lvlText w:val="（%1）"/>
      <w:lvlJc w:val="left"/>
      <w:rPr>
        <w:rFonts w:hint="eastAsia"/>
      </w:rPr>
    </w:lvl>
  </w:abstractNum>
  <w:abstractNum w:abstractNumId="6">
    <w:nsid w:val="66BAD09D"/>
    <w:multiLevelType w:val="multilevel"/>
    <w:tmpl w:val="66BAD09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
    <w:nsid w:val="73887025"/>
    <w:multiLevelType w:val="multilevel"/>
    <w:tmpl w:val="73887025"/>
    <w:lvl w:ilvl="0" w:tentative="0">
      <w:start w:val="1"/>
      <w:numFmt w:val="decimal"/>
      <w:pStyle w:val="56"/>
      <w:suff w:val="nothing"/>
      <w:lvlText w:val="%1."/>
      <w:lvlJc w:val="left"/>
      <w:pPr>
        <w:ind w:left="284" w:firstLine="0"/>
      </w:pPr>
      <w:rPr>
        <w:rFonts w:hint="eastAsia" w:ascii="宋体" w:hAnsi="宋体" w:eastAsia="宋体"/>
        <w:b w:val="0"/>
        <w:i w:val="0"/>
        <w:caps w:val="0"/>
        <w:strike w:val="0"/>
        <w:dstrike w:val="0"/>
        <w:vanish w:val="0"/>
        <w:spacing w:val="0"/>
        <w:position w:val="0"/>
        <w:sz w:val="24"/>
        <w:szCs w:val="24"/>
        <w:vertAlign w:val="baseline"/>
      </w:rPr>
    </w:lvl>
    <w:lvl w:ilvl="1" w:tentative="0">
      <w:start w:val="1"/>
      <w:numFmt w:val="decimal"/>
      <w:suff w:val="nothing"/>
      <w:lvlText w:val="%1.%2"/>
      <w:lvlJc w:val="left"/>
      <w:pPr>
        <w:ind w:left="4840" w:hanging="3836"/>
      </w:pPr>
      <w:rPr>
        <w:rFonts w:hint="eastAsia" w:cs="Times New Roman"/>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994" w:hanging="170"/>
      </w:pPr>
      <w:rPr>
        <w:b w:val="0"/>
        <w:i w:val="0"/>
        <w:strike w:val="0"/>
        <w:color w:val="000000"/>
      </w:rPr>
    </w:lvl>
    <w:lvl w:ilvl="3" w:tentative="0">
      <w:start w:val="1"/>
      <w:numFmt w:val="decimal"/>
      <w:suff w:val="nothing"/>
      <w:lvlText w:val="%1.%2.%3.%4"/>
      <w:lvlJc w:val="left"/>
      <w:pPr>
        <w:ind w:left="388" w:hanging="227"/>
      </w:pPr>
      <w:rPr>
        <w:rFonts w:hint="eastAsia"/>
        <w:b w:val="0"/>
        <w:i w:val="0"/>
      </w:rPr>
    </w:lvl>
    <w:lvl w:ilvl="4" w:tentative="0">
      <w:start w:val="1"/>
      <w:numFmt w:val="decimal"/>
      <w:suff w:val="nothing"/>
      <w:lvlText w:val="%1.%2.%3.%4.%5"/>
      <w:lvlJc w:val="left"/>
      <w:pPr>
        <w:ind w:left="501" w:hanging="340"/>
      </w:pPr>
      <w:rPr>
        <w:rFonts w:hint="eastAsia" w:ascii="宋体" w:eastAsia="宋体"/>
        <w:b w:val="0"/>
        <w:i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824"/>
        </w:tabs>
        <w:ind w:left="3518" w:hanging="1134"/>
      </w:pPr>
      <w:rPr>
        <w:rFonts w:hint="eastAsia"/>
      </w:rPr>
    </w:lvl>
    <w:lvl w:ilvl="6" w:tentative="0">
      <w:start w:val="1"/>
      <w:numFmt w:val="decimal"/>
      <w:lvlText w:val="%1.%2.%3.%4.%5.%6.%7"/>
      <w:lvlJc w:val="left"/>
      <w:pPr>
        <w:tabs>
          <w:tab w:val="left" w:pos="4609"/>
        </w:tabs>
        <w:ind w:left="4085" w:hanging="1276"/>
      </w:pPr>
      <w:rPr>
        <w:rFonts w:hint="eastAsia"/>
      </w:rPr>
    </w:lvl>
    <w:lvl w:ilvl="7" w:tentative="0">
      <w:start w:val="1"/>
      <w:numFmt w:val="decimal"/>
      <w:lvlText w:val="%1.%2.%3.%4.%5.%6.%7.%8"/>
      <w:lvlJc w:val="left"/>
      <w:pPr>
        <w:tabs>
          <w:tab w:val="left" w:pos="5394"/>
        </w:tabs>
        <w:ind w:left="4652" w:hanging="1418"/>
      </w:pPr>
      <w:rPr>
        <w:rFonts w:hint="eastAsia"/>
      </w:rPr>
    </w:lvl>
    <w:lvl w:ilvl="8" w:tentative="0">
      <w:start w:val="1"/>
      <w:numFmt w:val="decimal"/>
      <w:lvlText w:val="%1.%2.%3.%4.%5.%6.%7.%8.%9"/>
      <w:lvlJc w:val="left"/>
      <w:pPr>
        <w:tabs>
          <w:tab w:val="left" w:pos="5820"/>
        </w:tabs>
        <w:ind w:left="5360" w:hanging="1700"/>
      </w:pPr>
      <w:rPr>
        <w:rFonts w:hint="eastAsia"/>
      </w:rPr>
    </w:lvl>
  </w:abstractNum>
  <w:abstractNum w:abstractNumId="8">
    <w:nsid w:val="78ECDB71"/>
    <w:multiLevelType w:val="singleLevel"/>
    <w:tmpl w:val="78ECDB71"/>
    <w:lvl w:ilvl="0" w:tentative="0">
      <w:start w:val="1"/>
      <w:numFmt w:val="chineseCounting"/>
      <w:suff w:val="nothing"/>
      <w:lvlText w:val="（%1）"/>
      <w:lvlJc w:val="left"/>
      <w:rPr>
        <w:rFonts w:hint="eastAsia"/>
      </w:rPr>
    </w:lvl>
  </w:abstractNum>
  <w:num w:numId="1">
    <w:abstractNumId w:val="7"/>
  </w:num>
  <w:num w:numId="2">
    <w:abstractNumId w:val="1"/>
  </w:num>
  <w:num w:numId="3">
    <w:abstractNumId w:val="8"/>
  </w:num>
  <w:num w:numId="4">
    <w:abstractNumId w:val="2"/>
  </w:num>
  <w:num w:numId="5">
    <w:abstractNumId w:val="0"/>
  </w:num>
  <w:num w:numId="6">
    <w:abstractNumId w:val="3"/>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ZTVhOWY3ZjVjOWNlZmQ5MGUxYjMzMWYzMzMxYWMifQ=="/>
  </w:docVars>
  <w:rsids>
    <w:rsidRoot w:val="00172A27"/>
    <w:rsid w:val="00092597"/>
    <w:rsid w:val="00164DB5"/>
    <w:rsid w:val="00272332"/>
    <w:rsid w:val="00283890"/>
    <w:rsid w:val="002854FC"/>
    <w:rsid w:val="003307C5"/>
    <w:rsid w:val="00564343"/>
    <w:rsid w:val="00571164"/>
    <w:rsid w:val="00574E1B"/>
    <w:rsid w:val="0057643A"/>
    <w:rsid w:val="005E291C"/>
    <w:rsid w:val="00650DBB"/>
    <w:rsid w:val="00651987"/>
    <w:rsid w:val="00703A77"/>
    <w:rsid w:val="00752409"/>
    <w:rsid w:val="008878F4"/>
    <w:rsid w:val="00897C44"/>
    <w:rsid w:val="008B50EA"/>
    <w:rsid w:val="008C0B9B"/>
    <w:rsid w:val="00935814"/>
    <w:rsid w:val="00B66047"/>
    <w:rsid w:val="00DB356D"/>
    <w:rsid w:val="00DE216F"/>
    <w:rsid w:val="00F10EE3"/>
    <w:rsid w:val="00F32E6D"/>
    <w:rsid w:val="013A1A1A"/>
    <w:rsid w:val="021E624F"/>
    <w:rsid w:val="025A03DA"/>
    <w:rsid w:val="02A72B25"/>
    <w:rsid w:val="034B6AB1"/>
    <w:rsid w:val="039A7379"/>
    <w:rsid w:val="04462670"/>
    <w:rsid w:val="050E3C3D"/>
    <w:rsid w:val="05991C04"/>
    <w:rsid w:val="06DF69CB"/>
    <w:rsid w:val="09736D12"/>
    <w:rsid w:val="0A121ED1"/>
    <w:rsid w:val="0A4459A3"/>
    <w:rsid w:val="0AA752CE"/>
    <w:rsid w:val="0ABB17B1"/>
    <w:rsid w:val="0B2331F6"/>
    <w:rsid w:val="0B2D32E7"/>
    <w:rsid w:val="0C2D5916"/>
    <w:rsid w:val="0D0648F3"/>
    <w:rsid w:val="0DB671EA"/>
    <w:rsid w:val="0DD62172"/>
    <w:rsid w:val="0DE14585"/>
    <w:rsid w:val="0E4F566B"/>
    <w:rsid w:val="0EDC3EB6"/>
    <w:rsid w:val="0EDC7AAC"/>
    <w:rsid w:val="0F552DD8"/>
    <w:rsid w:val="0F5B7F5F"/>
    <w:rsid w:val="107D175F"/>
    <w:rsid w:val="10BB7E49"/>
    <w:rsid w:val="1205006A"/>
    <w:rsid w:val="121A7E6E"/>
    <w:rsid w:val="125E660F"/>
    <w:rsid w:val="1412557A"/>
    <w:rsid w:val="147729F9"/>
    <w:rsid w:val="14D3507F"/>
    <w:rsid w:val="14DA4F34"/>
    <w:rsid w:val="15683FB3"/>
    <w:rsid w:val="157B605A"/>
    <w:rsid w:val="15A156C1"/>
    <w:rsid w:val="16AE6169"/>
    <w:rsid w:val="16F9056D"/>
    <w:rsid w:val="174276A3"/>
    <w:rsid w:val="174E5809"/>
    <w:rsid w:val="176B1EC7"/>
    <w:rsid w:val="19877DEE"/>
    <w:rsid w:val="19F54EEE"/>
    <w:rsid w:val="1A1960CE"/>
    <w:rsid w:val="1AD965A7"/>
    <w:rsid w:val="1C776484"/>
    <w:rsid w:val="1CA0064E"/>
    <w:rsid w:val="1CFD5135"/>
    <w:rsid w:val="1D1F48B6"/>
    <w:rsid w:val="1D4D2F26"/>
    <w:rsid w:val="1D8C46F7"/>
    <w:rsid w:val="1DAD27B7"/>
    <w:rsid w:val="1DB84526"/>
    <w:rsid w:val="1F5B137D"/>
    <w:rsid w:val="1FEA0057"/>
    <w:rsid w:val="1FEF69E9"/>
    <w:rsid w:val="20DF18F7"/>
    <w:rsid w:val="21331BF5"/>
    <w:rsid w:val="21E66F14"/>
    <w:rsid w:val="22277F7A"/>
    <w:rsid w:val="225519DA"/>
    <w:rsid w:val="225F4C8F"/>
    <w:rsid w:val="235902A2"/>
    <w:rsid w:val="242211CE"/>
    <w:rsid w:val="249D2158"/>
    <w:rsid w:val="24E862E1"/>
    <w:rsid w:val="251E7876"/>
    <w:rsid w:val="25DD0E92"/>
    <w:rsid w:val="25E32535"/>
    <w:rsid w:val="260C05B6"/>
    <w:rsid w:val="272E720A"/>
    <w:rsid w:val="27E404E5"/>
    <w:rsid w:val="282C6F4A"/>
    <w:rsid w:val="284F5955"/>
    <w:rsid w:val="28AA4453"/>
    <w:rsid w:val="29DA0504"/>
    <w:rsid w:val="2ADC1EAD"/>
    <w:rsid w:val="2B27344B"/>
    <w:rsid w:val="2C620702"/>
    <w:rsid w:val="2CF65A82"/>
    <w:rsid w:val="2E505CAA"/>
    <w:rsid w:val="2F0D71E4"/>
    <w:rsid w:val="2F201553"/>
    <w:rsid w:val="2F2143A8"/>
    <w:rsid w:val="2F7F4390"/>
    <w:rsid w:val="30217F73"/>
    <w:rsid w:val="30420F9B"/>
    <w:rsid w:val="31105C9B"/>
    <w:rsid w:val="31352131"/>
    <w:rsid w:val="334B1232"/>
    <w:rsid w:val="33CC1DBE"/>
    <w:rsid w:val="33D21370"/>
    <w:rsid w:val="34056D24"/>
    <w:rsid w:val="34AF1F25"/>
    <w:rsid w:val="34E33646"/>
    <w:rsid w:val="35316762"/>
    <w:rsid w:val="36F86FF8"/>
    <w:rsid w:val="371A7C4A"/>
    <w:rsid w:val="382D7E24"/>
    <w:rsid w:val="39DC495E"/>
    <w:rsid w:val="3A040244"/>
    <w:rsid w:val="3A3E6454"/>
    <w:rsid w:val="3AB65D39"/>
    <w:rsid w:val="3AEA3275"/>
    <w:rsid w:val="3B1A6344"/>
    <w:rsid w:val="3B206ADE"/>
    <w:rsid w:val="3B3E7245"/>
    <w:rsid w:val="3B6A1421"/>
    <w:rsid w:val="3B90053D"/>
    <w:rsid w:val="3BCB236D"/>
    <w:rsid w:val="3D360130"/>
    <w:rsid w:val="3DAC2343"/>
    <w:rsid w:val="3E2B4840"/>
    <w:rsid w:val="3E886AE3"/>
    <w:rsid w:val="3F073B01"/>
    <w:rsid w:val="3FA303E0"/>
    <w:rsid w:val="406F47AB"/>
    <w:rsid w:val="41143F20"/>
    <w:rsid w:val="41D87F03"/>
    <w:rsid w:val="421D3D58"/>
    <w:rsid w:val="422D4C80"/>
    <w:rsid w:val="42B15B20"/>
    <w:rsid w:val="438E7720"/>
    <w:rsid w:val="43B92544"/>
    <w:rsid w:val="457C7CFA"/>
    <w:rsid w:val="46A755D7"/>
    <w:rsid w:val="47427D7A"/>
    <w:rsid w:val="476659F2"/>
    <w:rsid w:val="477D73AE"/>
    <w:rsid w:val="48FE0116"/>
    <w:rsid w:val="493B688C"/>
    <w:rsid w:val="4A584D4D"/>
    <w:rsid w:val="4A982FD6"/>
    <w:rsid w:val="4B3B2ADC"/>
    <w:rsid w:val="4BF02238"/>
    <w:rsid w:val="4C5C5AE9"/>
    <w:rsid w:val="4D0E24D9"/>
    <w:rsid w:val="4DAC5684"/>
    <w:rsid w:val="4E4077E0"/>
    <w:rsid w:val="4E676491"/>
    <w:rsid w:val="4EDD5164"/>
    <w:rsid w:val="4F64324A"/>
    <w:rsid w:val="4F885408"/>
    <w:rsid w:val="50EF43D0"/>
    <w:rsid w:val="51C25C48"/>
    <w:rsid w:val="522F25C7"/>
    <w:rsid w:val="52431E6F"/>
    <w:rsid w:val="52432BA9"/>
    <w:rsid w:val="52D27B05"/>
    <w:rsid w:val="52D56541"/>
    <w:rsid w:val="53437C72"/>
    <w:rsid w:val="53541FB1"/>
    <w:rsid w:val="539120AE"/>
    <w:rsid w:val="53DD2AB9"/>
    <w:rsid w:val="54B378F5"/>
    <w:rsid w:val="54BF5FBC"/>
    <w:rsid w:val="5506695D"/>
    <w:rsid w:val="563A79A5"/>
    <w:rsid w:val="56944D86"/>
    <w:rsid w:val="569C10DE"/>
    <w:rsid w:val="56C377A5"/>
    <w:rsid w:val="57041ABC"/>
    <w:rsid w:val="571D543F"/>
    <w:rsid w:val="58473C24"/>
    <w:rsid w:val="59863EFF"/>
    <w:rsid w:val="598858BC"/>
    <w:rsid w:val="5995347C"/>
    <w:rsid w:val="59AD2BAD"/>
    <w:rsid w:val="5A554748"/>
    <w:rsid w:val="5B2D3C98"/>
    <w:rsid w:val="5B846552"/>
    <w:rsid w:val="5CC81443"/>
    <w:rsid w:val="60261490"/>
    <w:rsid w:val="608D4366"/>
    <w:rsid w:val="60C44823"/>
    <w:rsid w:val="61E73158"/>
    <w:rsid w:val="63340547"/>
    <w:rsid w:val="63C331EF"/>
    <w:rsid w:val="66044A6E"/>
    <w:rsid w:val="66B64A77"/>
    <w:rsid w:val="67393CF3"/>
    <w:rsid w:val="67934E36"/>
    <w:rsid w:val="687822BC"/>
    <w:rsid w:val="69FC498F"/>
    <w:rsid w:val="6A5D64C0"/>
    <w:rsid w:val="6A9430AB"/>
    <w:rsid w:val="6AEC2909"/>
    <w:rsid w:val="6BB46868"/>
    <w:rsid w:val="6BBB4EB2"/>
    <w:rsid w:val="6BD04735"/>
    <w:rsid w:val="6C597CBB"/>
    <w:rsid w:val="6D9A01AE"/>
    <w:rsid w:val="6DEE7FEB"/>
    <w:rsid w:val="6E505BF2"/>
    <w:rsid w:val="6EAB5825"/>
    <w:rsid w:val="6EB172EC"/>
    <w:rsid w:val="6F7E254A"/>
    <w:rsid w:val="6FC347C7"/>
    <w:rsid w:val="6FDB1F9F"/>
    <w:rsid w:val="6FFD6DB3"/>
    <w:rsid w:val="709E6BC8"/>
    <w:rsid w:val="70D42193"/>
    <w:rsid w:val="71332223"/>
    <w:rsid w:val="713C63DA"/>
    <w:rsid w:val="714F6D11"/>
    <w:rsid w:val="71BD0006"/>
    <w:rsid w:val="73982799"/>
    <w:rsid w:val="73F77751"/>
    <w:rsid w:val="746520A3"/>
    <w:rsid w:val="74A03FF3"/>
    <w:rsid w:val="74EA412A"/>
    <w:rsid w:val="75AB1A92"/>
    <w:rsid w:val="766B15C7"/>
    <w:rsid w:val="76765915"/>
    <w:rsid w:val="777530B3"/>
    <w:rsid w:val="783D01A7"/>
    <w:rsid w:val="78525A87"/>
    <w:rsid w:val="78553DC5"/>
    <w:rsid w:val="799A4B49"/>
    <w:rsid w:val="79A43FD1"/>
    <w:rsid w:val="79BB1809"/>
    <w:rsid w:val="7A2955D1"/>
    <w:rsid w:val="7AD21C22"/>
    <w:rsid w:val="7B8A60A5"/>
    <w:rsid w:val="7CCC5DB5"/>
    <w:rsid w:val="7E307781"/>
    <w:rsid w:val="7F36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jc w:val="center"/>
      <w:outlineLvl w:val="0"/>
    </w:pPr>
    <w:rPr>
      <w:b/>
      <w:kern w:val="44"/>
      <w:sz w:val="28"/>
      <w:szCs w:val="44"/>
    </w:rPr>
  </w:style>
  <w:style w:type="paragraph" w:styleId="5">
    <w:name w:val="heading 2"/>
    <w:basedOn w:val="1"/>
    <w:next w:val="1"/>
    <w:link w:val="57"/>
    <w:unhideWhenUsed/>
    <w:qFormat/>
    <w:uiPriority w:val="0"/>
    <w:pPr>
      <w:keepNext/>
      <w:keepLines/>
      <w:spacing w:before="260" w:after="260" w:line="413" w:lineRule="auto"/>
      <w:jc w:val="left"/>
      <w:outlineLvl w:val="1"/>
    </w:pPr>
    <w:rPr>
      <w:rFonts w:ascii="Arial" w:hAnsi="Arial" w:eastAsia="宋体"/>
      <w:b/>
    </w:rPr>
  </w:style>
  <w:style w:type="paragraph" w:styleId="6">
    <w:name w:val="heading 3"/>
    <w:basedOn w:val="7"/>
    <w:next w:val="1"/>
    <w:unhideWhenUsed/>
    <w:qFormat/>
    <w:uiPriority w:val="0"/>
    <w:pPr>
      <w:spacing w:before="260" w:after="260" w:line="413" w:lineRule="auto"/>
      <w:jc w:val="center"/>
      <w:outlineLvl w:val="2"/>
    </w:pPr>
    <w:rPr>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semiHidden/>
    <w:unhideWhenUsed/>
    <w:qFormat/>
    <w:uiPriority w:val="9"/>
    <w:pPr>
      <w:keepNext/>
      <w:keepLines/>
      <w:spacing w:before="280" w:after="290" w:line="376" w:lineRule="auto"/>
      <w:outlineLvl w:val="4"/>
    </w:pPr>
    <w:rPr>
      <w:rFonts w:ascii="Times New Roman" w:hAnsi="Times New Roman" w:eastAsia="宋体" w:cs="Times New Roman"/>
      <w:b/>
      <w:bCs/>
      <w:sz w:val="28"/>
      <w:szCs w:val="28"/>
    </w:rPr>
  </w:style>
  <w:style w:type="character" w:default="1" w:styleId="27">
    <w:name w:val="Default Paragraph Font"/>
    <w:link w:val="28"/>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next w:val="3"/>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styleId="3">
    <w:name w:val="Body Text Indent 3"/>
    <w:basedOn w:val="1"/>
    <w:autoRedefine/>
    <w:qFormat/>
    <w:uiPriority w:val="0"/>
    <w:pPr>
      <w:spacing w:after="120"/>
      <w:ind w:left="420" w:leftChars="200"/>
    </w:pPr>
    <w:rPr>
      <w:sz w:val="16"/>
      <w:szCs w:val="16"/>
    </w:rPr>
  </w:style>
  <w:style w:type="paragraph" w:styleId="9">
    <w:name w:val="Normal Indent"/>
    <w:basedOn w:val="1"/>
    <w:autoRedefine/>
    <w:qFormat/>
    <w:uiPriority w:val="0"/>
    <w:pPr>
      <w:autoSpaceDE w:val="0"/>
      <w:autoSpaceDN w:val="0"/>
      <w:spacing w:line="360" w:lineRule="auto"/>
      <w:ind w:left="181" w:firstLine="420"/>
    </w:pPr>
    <w:rPr>
      <w:rFonts w:ascii="Times New Roman" w:hAnsi="Times New Roman"/>
      <w:szCs w:val="20"/>
    </w:rPr>
  </w:style>
  <w:style w:type="paragraph" w:styleId="10">
    <w:name w:val="annotation text"/>
    <w:basedOn w:val="1"/>
    <w:autoRedefine/>
    <w:qFormat/>
    <w:uiPriority w:val="0"/>
    <w:pPr>
      <w:jc w:val="left"/>
    </w:pPr>
    <w:rPr>
      <w:rFonts w:ascii="Times New Roman" w:hAnsi="Times New Roman"/>
    </w:rPr>
  </w:style>
  <w:style w:type="paragraph" w:styleId="11">
    <w:name w:val="Body Text"/>
    <w:basedOn w:val="1"/>
    <w:next w:val="1"/>
    <w:autoRedefine/>
    <w:qFormat/>
    <w:uiPriority w:val="0"/>
    <w:pPr>
      <w:spacing w:line="360" w:lineRule="auto"/>
    </w:pPr>
    <w:rPr>
      <w:b/>
      <w:bCs/>
      <w:sz w:val="24"/>
    </w:rPr>
  </w:style>
  <w:style w:type="paragraph" w:styleId="12">
    <w:name w:val="Body Text Indent"/>
    <w:basedOn w:val="1"/>
    <w:autoRedefine/>
    <w:qFormat/>
    <w:uiPriority w:val="0"/>
    <w:pPr>
      <w:spacing w:after="120" w:afterLines="0"/>
      <w:ind w:left="420" w:leftChars="200"/>
    </w:p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pPr>
      <w:spacing w:line="360" w:lineRule="auto"/>
    </w:pPr>
    <w:rPr>
      <w:rFonts w:ascii="宋体" w:hAnsi="Courier New"/>
      <w:szCs w:val="21"/>
    </w:rPr>
  </w:style>
  <w:style w:type="paragraph" w:styleId="15">
    <w:name w:val="Balloon Text"/>
    <w:basedOn w:val="1"/>
    <w:link w:val="54"/>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toc 2"/>
    <w:basedOn w:val="1"/>
    <w:next w:val="1"/>
    <w:autoRedefine/>
    <w:qFormat/>
    <w:uiPriority w:val="0"/>
    <w:pPr>
      <w:ind w:left="420" w:leftChars="200"/>
    </w:pPr>
  </w:style>
  <w:style w:type="paragraph" w:styleId="22">
    <w:name w:val="Normal (Web)"/>
    <w:basedOn w:val="1"/>
    <w:autoRedefine/>
    <w:qFormat/>
    <w:uiPriority w:val="0"/>
    <w:pPr>
      <w:spacing w:beforeAutospacing="1" w:afterAutospacing="1"/>
      <w:jc w:val="left"/>
    </w:pPr>
    <w:rPr>
      <w:rFonts w:cs="Times New Roman"/>
      <w:kern w:val="0"/>
      <w:sz w:val="24"/>
    </w:rPr>
  </w:style>
  <w:style w:type="paragraph" w:styleId="23">
    <w:name w:val="Body Text First Indent"/>
    <w:basedOn w:val="11"/>
    <w:autoRedefine/>
    <w:qFormat/>
    <w:uiPriority w:val="0"/>
    <w:pPr>
      <w:ind w:firstLine="420" w:firstLineChars="100"/>
    </w:pPr>
    <w:rPr>
      <w:rFonts w:ascii="宋体" w:hAnsi="Calibri"/>
      <w:szCs w:val="20"/>
    </w:rPr>
  </w:style>
  <w:style w:type="paragraph" w:styleId="24">
    <w:name w:val="Body Text First Indent 2"/>
    <w:basedOn w:val="12"/>
    <w:autoRedefine/>
    <w:qFormat/>
    <w:uiPriority w:val="0"/>
    <w:pPr>
      <w:ind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 Char"/>
    <w:link w:val="27"/>
    <w:autoRedefine/>
    <w:unhideWhenUsed/>
    <w:qFormat/>
    <w:uiPriority w:val="0"/>
    <w:pPr>
      <w:widowControl w:val="0"/>
      <w:shd w:val="clear" w:color="auto" w:fill="000080"/>
      <w:adjustRightInd w:val="0"/>
      <w:snapToGrid w:val="0"/>
      <w:spacing w:beforeLines="0" w:afterLines="0" w:line="360" w:lineRule="auto"/>
      <w:jc w:val="both"/>
    </w:pPr>
    <w:rPr>
      <w:rFonts w:hint="default" w:ascii="Tahoma" w:hAnsi="Tahoma" w:eastAsia="宋体" w:cs="Times New Roman"/>
      <w:kern w:val="2"/>
      <w:sz w:val="24"/>
      <w:szCs w:val="24"/>
      <w:lang w:val="en-US" w:eastAsia="zh-CN" w:bidi="ar-SA"/>
    </w:rPr>
  </w:style>
  <w:style w:type="character" w:styleId="29">
    <w:name w:val="Strong"/>
    <w:basedOn w:val="27"/>
    <w:autoRedefine/>
    <w:qFormat/>
    <w:uiPriority w:val="0"/>
  </w:style>
  <w:style w:type="character" w:styleId="30">
    <w:name w:val="FollowedHyperlink"/>
    <w:basedOn w:val="27"/>
    <w:autoRedefine/>
    <w:qFormat/>
    <w:uiPriority w:val="0"/>
    <w:rPr>
      <w:color w:val="3D3D3D"/>
      <w:u w:val="none"/>
    </w:rPr>
  </w:style>
  <w:style w:type="character" w:styleId="31">
    <w:name w:val="Emphasis"/>
    <w:basedOn w:val="27"/>
    <w:autoRedefine/>
    <w:qFormat/>
    <w:uiPriority w:val="0"/>
  </w:style>
  <w:style w:type="character" w:styleId="32">
    <w:name w:val="HTML Definition"/>
    <w:basedOn w:val="27"/>
    <w:autoRedefine/>
    <w:qFormat/>
    <w:uiPriority w:val="0"/>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basedOn w:val="27"/>
    <w:autoRedefine/>
    <w:qFormat/>
    <w:uiPriority w:val="0"/>
    <w:rPr>
      <w:color w:val="3D3D3D"/>
      <w:u w:val="none"/>
    </w:rPr>
  </w:style>
  <w:style w:type="character" w:styleId="36">
    <w:name w:val="HTML Code"/>
    <w:basedOn w:val="27"/>
    <w:autoRedefine/>
    <w:qFormat/>
    <w:uiPriority w:val="0"/>
    <w:rPr>
      <w:rFonts w:ascii="Courier New" w:hAnsi="Courier New"/>
      <w:sz w:val="20"/>
    </w:rPr>
  </w:style>
  <w:style w:type="character" w:styleId="37">
    <w:name w:val="annotation reference"/>
    <w:autoRedefine/>
    <w:qFormat/>
    <w:uiPriority w:val="0"/>
    <w:rPr>
      <w:sz w:val="21"/>
      <w:szCs w:val="21"/>
    </w:rPr>
  </w:style>
  <w:style w:type="character" w:styleId="38">
    <w:name w:val="HTML Cite"/>
    <w:basedOn w:val="27"/>
    <w:autoRedefine/>
    <w:qFormat/>
    <w:uiPriority w:val="0"/>
  </w:style>
  <w:style w:type="paragraph" w:customStyle="1" w:styleId="3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40">
    <w:name w:val="gpa"/>
    <w:basedOn w:val="27"/>
    <w:autoRedefine/>
    <w:qFormat/>
    <w:uiPriority w:val="0"/>
    <w:rPr>
      <w:rFonts w:ascii="Arial" w:hAnsi="Arial" w:cs="Arial"/>
      <w:sz w:val="15"/>
      <w:szCs w:val="15"/>
    </w:rPr>
  </w:style>
  <w:style w:type="character" w:customStyle="1" w:styleId="41">
    <w:name w:val="selected"/>
    <w:basedOn w:val="27"/>
    <w:autoRedefine/>
    <w:qFormat/>
    <w:uiPriority w:val="0"/>
    <w:rPr>
      <w:shd w:val="clear" w:color="auto" w:fill="B00006"/>
    </w:rPr>
  </w:style>
  <w:style w:type="character" w:customStyle="1" w:styleId="42">
    <w:name w:val="displayarti"/>
    <w:basedOn w:val="27"/>
    <w:autoRedefine/>
    <w:qFormat/>
    <w:uiPriority w:val="0"/>
    <w:rPr>
      <w:color w:val="FFFFFF"/>
      <w:shd w:val="clear" w:color="auto" w:fill="A00000"/>
    </w:rPr>
  </w:style>
  <w:style w:type="character" w:customStyle="1" w:styleId="43">
    <w:name w:val="bds_more"/>
    <w:basedOn w:val="27"/>
    <w:autoRedefine/>
    <w:qFormat/>
    <w:uiPriority w:val="0"/>
    <w:rPr>
      <w:rFonts w:hint="eastAsia" w:ascii="宋体" w:hAnsi="宋体" w:eastAsia="宋体" w:cs="宋体"/>
    </w:rPr>
  </w:style>
  <w:style w:type="character" w:customStyle="1" w:styleId="44">
    <w:name w:val="bds_more1"/>
    <w:basedOn w:val="27"/>
    <w:autoRedefine/>
    <w:qFormat/>
    <w:uiPriority w:val="0"/>
  </w:style>
  <w:style w:type="character" w:customStyle="1" w:styleId="45">
    <w:name w:val="bds_more2"/>
    <w:basedOn w:val="27"/>
    <w:autoRedefine/>
    <w:qFormat/>
    <w:uiPriority w:val="0"/>
  </w:style>
  <w:style w:type="character" w:customStyle="1" w:styleId="46">
    <w:name w:val="bds_nopic"/>
    <w:basedOn w:val="27"/>
    <w:autoRedefine/>
    <w:qFormat/>
    <w:uiPriority w:val="0"/>
  </w:style>
  <w:style w:type="character" w:customStyle="1" w:styleId="47">
    <w:name w:val="bds_nopic1"/>
    <w:basedOn w:val="27"/>
    <w:autoRedefine/>
    <w:qFormat/>
    <w:uiPriority w:val="0"/>
  </w:style>
  <w:style w:type="character" w:customStyle="1" w:styleId="48">
    <w:name w:val="bds_nopic2"/>
    <w:basedOn w:val="27"/>
    <w:autoRedefine/>
    <w:qFormat/>
    <w:uiPriority w:val="0"/>
  </w:style>
  <w:style w:type="paragraph" w:customStyle="1" w:styleId="49">
    <w:name w:val="列出段落1"/>
    <w:basedOn w:val="1"/>
    <w:autoRedefine/>
    <w:qFormat/>
    <w:uiPriority w:val="0"/>
    <w:pPr>
      <w:ind w:firstLine="420" w:firstLineChars="200"/>
    </w:pPr>
    <w:rPr>
      <w:rFonts w:ascii="Calibri" w:hAnsi="Calibri"/>
      <w:szCs w:val="22"/>
    </w:rPr>
  </w:style>
  <w:style w:type="paragraph" w:customStyle="1" w:styleId="50">
    <w:name w:val="列出段落11"/>
    <w:basedOn w:val="1"/>
    <w:autoRedefine/>
    <w:qFormat/>
    <w:uiPriority w:val="0"/>
    <w:pPr>
      <w:ind w:firstLine="420" w:firstLineChars="200"/>
    </w:pPr>
    <w:rPr>
      <w:rFonts w:ascii="Calibri" w:hAnsi="Calibri"/>
      <w:szCs w:val="22"/>
    </w:rPr>
  </w:style>
  <w:style w:type="paragraph" w:customStyle="1" w:styleId="51">
    <w:name w:val="正文缩进1"/>
    <w:basedOn w:val="1"/>
    <w:autoRedefine/>
    <w:qFormat/>
    <w:uiPriority w:val="0"/>
    <w:pPr>
      <w:spacing w:line="300" w:lineRule="auto"/>
      <w:ind w:firstLine="420"/>
    </w:pPr>
    <w:rPr>
      <w:snapToGrid w:val="0"/>
      <w:sz w:val="24"/>
      <w:lang w:eastAsia="en-US"/>
    </w:rPr>
  </w:style>
  <w:style w:type="character" w:customStyle="1" w:styleId="52">
    <w:name w:val="apple-style-span"/>
    <w:basedOn w:val="27"/>
    <w:autoRedefine/>
    <w:qFormat/>
    <w:uiPriority w:val="0"/>
  </w:style>
  <w:style w:type="paragraph" w:customStyle="1" w:styleId="53">
    <w:name w:val="xl43"/>
    <w:basedOn w:val="1"/>
    <w:autoRedefine/>
    <w:qFormat/>
    <w:uiPriority w:val="0"/>
    <w:pPr>
      <w:widowControl/>
      <w:pBdr>
        <w:bottom w:val="single" w:color="auto" w:sz="4" w:space="0"/>
      </w:pBdr>
      <w:spacing w:before="100" w:beforeAutospacing="1" w:after="100" w:afterAutospacing="1"/>
      <w:jc w:val="center"/>
    </w:pPr>
    <w:rPr>
      <w:rFonts w:ascii="仿宋_GB2312" w:hAnsi="Arial Unicode MS" w:eastAsia="仿宋_GB2312"/>
      <w:kern w:val="0"/>
      <w:sz w:val="24"/>
    </w:rPr>
  </w:style>
  <w:style w:type="character" w:customStyle="1" w:styleId="54">
    <w:name w:val="批注框文本 Char"/>
    <w:basedOn w:val="27"/>
    <w:link w:val="15"/>
    <w:autoRedefine/>
    <w:qFormat/>
    <w:uiPriority w:val="0"/>
    <w:rPr>
      <w:rFonts w:asciiTheme="minorHAnsi" w:hAnsiTheme="minorHAnsi" w:eastAsiaTheme="minorEastAsia" w:cstheme="minorBidi"/>
      <w:kern w:val="2"/>
      <w:sz w:val="18"/>
      <w:szCs w:val="18"/>
    </w:rPr>
  </w:style>
  <w:style w:type="character" w:customStyle="1" w:styleId="55">
    <w:name w:val="标题 3 Char2"/>
    <w:autoRedefine/>
    <w:qFormat/>
    <w:uiPriority w:val="0"/>
    <w:rPr>
      <w:b/>
      <w:sz w:val="32"/>
    </w:rPr>
  </w:style>
  <w:style w:type="paragraph" w:customStyle="1" w:styleId="56">
    <w:name w:val="样式 USE 1 + 行距: 单倍行距"/>
    <w:basedOn w:val="1"/>
    <w:autoRedefine/>
    <w:qFormat/>
    <w:uiPriority w:val="0"/>
    <w:pPr>
      <w:numPr>
        <w:ilvl w:val="0"/>
        <w:numId w:val="1"/>
      </w:numPr>
      <w:spacing w:line="180" w:lineRule="atLeast"/>
      <w:jc w:val="left"/>
    </w:pPr>
    <w:rPr>
      <w:rFonts w:ascii="宋体" w:hAnsi="宋体" w:cs="宋体"/>
      <w:b/>
      <w:bCs/>
      <w:sz w:val="24"/>
      <w:szCs w:val="20"/>
    </w:rPr>
  </w:style>
  <w:style w:type="character" w:customStyle="1" w:styleId="57">
    <w:name w:val="标题 2 Char"/>
    <w:link w:val="5"/>
    <w:autoRedefine/>
    <w:qFormat/>
    <w:uiPriority w:val="0"/>
    <w:rPr>
      <w:rFonts w:ascii="Arial" w:hAnsi="Arial" w:eastAsia="宋体"/>
      <w:b/>
    </w:rPr>
  </w:style>
  <w:style w:type="paragraph" w:customStyle="1" w:styleId="58">
    <w:name w:val="USE 1"/>
    <w:basedOn w:val="1"/>
    <w:autoRedefine/>
    <w:qFormat/>
    <w:uiPriority w:val="0"/>
    <w:pPr>
      <w:spacing w:line="200" w:lineRule="atLeast"/>
      <w:jc w:val="left"/>
    </w:pPr>
    <w:rPr>
      <w:rFonts w:ascii="宋体" w:hAnsi="宋体"/>
      <w:b/>
      <w:sz w:val="24"/>
      <w:szCs w:val="28"/>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styleId="62">
    <w:name w:val="List Paragraph"/>
    <w:basedOn w:val="1"/>
    <w:autoRedefine/>
    <w:qFormat/>
    <w:uiPriority w:val="0"/>
    <w:pPr>
      <w:widowControl w:val="0"/>
      <w:ind w:firstLine="420" w:firstLineChars="200"/>
      <w:jc w:val="both"/>
    </w:pPr>
    <w:rPr>
      <w:rFonts w:ascii="Tahoma" w:hAnsi="Tahoma" w:eastAsia="宋体" w:cs="Times New Roman"/>
      <w:kern w:val="2"/>
      <w:sz w:val="24"/>
      <w:szCs w:val="24"/>
      <w:lang w:val="en-US" w:eastAsia="zh-CN" w:bidi="ar-SA"/>
    </w:rPr>
  </w:style>
  <w:style w:type="paragraph" w:customStyle="1" w:styleId="63">
    <w:name w:val="列出段落2"/>
    <w:basedOn w:val="1"/>
    <w:autoRedefine/>
    <w:qFormat/>
    <w:uiPriority w:val="0"/>
    <w:pPr>
      <w:ind w:firstLine="420" w:firstLineChars="200"/>
    </w:pPr>
    <w:rPr>
      <w:rFonts w:ascii="Calibri" w:hAnsi="Calibri" w:eastAsia="宋体" w:cs="Times New Roman"/>
    </w:rPr>
  </w:style>
  <w:style w:type="character" w:customStyle="1" w:styleId="64">
    <w:name w:val="font11"/>
    <w:basedOn w:val="27"/>
    <w:autoRedefine/>
    <w:unhideWhenUsed/>
    <w:qFormat/>
    <w:uiPriority w:val="0"/>
    <w:rPr>
      <w:rFonts w:hint="eastAsia" w:ascii="宋体" w:hAnsi="宋体" w:cs="宋体"/>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15813</Words>
  <Characters>15928</Characters>
  <Lines>314</Lines>
  <Paragraphs>88</Paragraphs>
  <TotalTime>18</TotalTime>
  <ScaleCrop>false</ScaleCrop>
  <LinksUpToDate>false</LinksUpToDate>
  <CharactersWithSpaces>16072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2021-05-04T02:54:00Z</dcterms:created>
  <dc:creator>Administrator</dc:creator>
  <cp:lastModifiedBy>医院办公室</cp:lastModifiedBy>
  <cp:lastPrinted>2016-06-03T02:20:00Z</cp:lastPrinted>
  <dcterms:modified xsi:type="dcterms:W3CDTF">2024-05-31T01:47:08Z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18F3C6A0EB824174987EAC9C50724449_13</vt:lpwstr>
  </property>
</Properties>
</file>