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5F67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附件1：</w:t>
      </w:r>
    </w:p>
    <w:p w14:paraId="064780CA">
      <w:pPr>
        <w:jc w:val="center"/>
        <w:rPr>
          <w:rFonts w:hint="eastAsia" w:ascii="方正小标宋简体" w:hAnsi="方正小标宋简体" w:eastAsia="方正小标宋简体" w:cs="方正小标宋简体"/>
          <w:b w:val="0"/>
          <w:bCs w:val="0"/>
          <w:sz w:val="44"/>
          <w:szCs w:val="44"/>
          <w:u w:val="none"/>
        </w:rPr>
      </w:pPr>
    </w:p>
    <w:p w14:paraId="34279CDB">
      <w:pPr>
        <w:jc w:val="center"/>
        <w:rPr>
          <w:rFonts w:hint="eastAsia" w:ascii="方正小标宋简体" w:hAnsi="方正小标宋简体" w:eastAsia="方正小标宋简体" w:cs="方正小标宋简体"/>
          <w:b w:val="0"/>
          <w:bCs w:val="0"/>
          <w:sz w:val="44"/>
          <w:szCs w:val="44"/>
          <w:u w:val="none"/>
        </w:rPr>
      </w:pPr>
    </w:p>
    <w:p w14:paraId="454737A2">
      <w:pPr>
        <w:jc w:val="center"/>
        <w:rPr>
          <w:rFonts w:hint="eastAsia" w:ascii="方正小标宋简体" w:hAnsi="方正小标宋简体" w:eastAsia="方正小标宋简体" w:cs="方正小标宋简体"/>
          <w:b w:val="0"/>
          <w:bCs w:val="0"/>
          <w:sz w:val="44"/>
          <w:szCs w:val="44"/>
          <w:u w:val="none"/>
        </w:rPr>
      </w:pPr>
    </w:p>
    <w:p w14:paraId="4229E075">
      <w:pPr>
        <w:jc w:val="center"/>
        <w:rPr>
          <w:rFonts w:hint="eastAsia" w:ascii="方正小标宋简体" w:hAnsi="方正小标宋简体" w:eastAsia="方正小标宋简体" w:cs="方正小标宋简体"/>
          <w:b w:val="0"/>
          <w:bCs w:val="0"/>
          <w:sz w:val="44"/>
          <w:szCs w:val="44"/>
          <w:u w:val="none"/>
        </w:rPr>
      </w:pPr>
    </w:p>
    <w:p w14:paraId="33505B09">
      <w:pPr>
        <w:jc w:val="center"/>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rPr>
        <w:t>惠州市中医医院2024-2025年医疗责任保险项目</w:t>
      </w:r>
      <w:r>
        <w:rPr>
          <w:rFonts w:hint="eastAsia" w:ascii="方正小标宋简体" w:hAnsi="方正小标宋简体" w:eastAsia="方正小标宋简体" w:cs="方正小标宋简体"/>
          <w:b w:val="0"/>
          <w:bCs w:val="0"/>
          <w:sz w:val="44"/>
          <w:szCs w:val="44"/>
          <w:u w:val="none"/>
          <w:lang w:eastAsia="zh-CN"/>
        </w:rPr>
        <w:t>需求书</w:t>
      </w:r>
    </w:p>
    <w:p w14:paraId="27824FBD">
      <w:pPr>
        <w:pStyle w:val="7"/>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bookmarkStart w:id="0" w:name="_Toc20324"/>
    </w:p>
    <w:p w14:paraId="1C9EC6F6">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2BFE2B44">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09F99C81">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7BC01CDB">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5E8C47CF">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56B36020">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6F3D8C88">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032CA027">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1F0AC45E">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0EFAB0C4">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5B9A11E2">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402E6F3A">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1126BE9E">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390AFCAE">
      <w:pPr>
        <w:pStyle w:val="7"/>
        <w:ind w:left="0" w:leftChars="0" w:firstLine="640" w:firstLineChars="200"/>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p>
    <w:p w14:paraId="39E22484">
      <w:pPr>
        <w:pStyle w:val="7"/>
        <w:ind w:left="0" w:leftChars="0" w:firstLine="640" w:firstLineChars="200"/>
        <w:rPr>
          <w:rFonts w:hint="eastAsia"/>
          <w:lang w:eastAsia="zh-CN"/>
        </w:rPr>
      </w:pPr>
      <w:r>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t>一</w:t>
      </w:r>
      <w:r>
        <w:rPr>
          <w:rFonts w:hint="default"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t>、</w:t>
      </w:r>
      <w:r>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t>项目基本情况</w:t>
      </w:r>
      <w:bookmarkEnd w:id="0"/>
    </w:p>
    <w:tbl>
      <w:tblPr>
        <w:tblStyle w:val="4"/>
        <w:tblpPr w:leftFromText="180" w:rightFromText="180" w:vertAnchor="text" w:horzAnchor="page" w:tblpX="1943" w:tblpY="226"/>
        <w:tblOverlap w:val="never"/>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8"/>
        <w:gridCol w:w="5581"/>
      </w:tblGrid>
      <w:tr w14:paraId="5437F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3018" w:type="dxa"/>
          </w:tcPr>
          <w:p w14:paraId="2BFF77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名称：</w:t>
            </w:r>
          </w:p>
        </w:tc>
        <w:tc>
          <w:tcPr>
            <w:tcW w:w="5581" w:type="dxa"/>
          </w:tcPr>
          <w:p w14:paraId="2540642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惠州市中医医院</w:t>
            </w:r>
          </w:p>
        </w:tc>
      </w:tr>
      <w:tr w14:paraId="0ABA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trPr>
        <w:tc>
          <w:tcPr>
            <w:tcW w:w="3018" w:type="dxa"/>
          </w:tcPr>
          <w:p w14:paraId="4BA9424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地址：</w:t>
            </w:r>
          </w:p>
        </w:tc>
        <w:tc>
          <w:tcPr>
            <w:tcW w:w="5581" w:type="dxa"/>
          </w:tcPr>
          <w:p w14:paraId="10C545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惠州市菱湖三路一号、惠州市惠城区东江新城东升二路</w:t>
            </w:r>
          </w:p>
        </w:tc>
      </w:tr>
      <w:tr w14:paraId="4EB2B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3018" w:type="dxa"/>
          </w:tcPr>
          <w:p w14:paraId="2DBD64E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医疗机构等级：</w:t>
            </w:r>
          </w:p>
        </w:tc>
        <w:tc>
          <w:tcPr>
            <w:tcW w:w="5581" w:type="dxa"/>
          </w:tcPr>
          <w:p w14:paraId="097715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三级</w:t>
            </w:r>
          </w:p>
        </w:tc>
      </w:tr>
      <w:tr w14:paraId="2A01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3018" w:type="dxa"/>
          </w:tcPr>
          <w:p w14:paraId="30DB0E0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医疗机构类别：</w:t>
            </w:r>
          </w:p>
        </w:tc>
        <w:tc>
          <w:tcPr>
            <w:tcW w:w="5581" w:type="dxa"/>
          </w:tcPr>
          <w:p w14:paraId="12B1EF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中医（</w:t>
            </w:r>
            <w:r>
              <w:rPr>
                <w:rFonts w:hint="eastAsia" w:ascii="方正仿宋_GBK" w:hAnsi="方正仿宋_GBK" w:eastAsia="方正仿宋_GBK" w:cs="方正仿宋_GBK"/>
                <w:color w:val="auto"/>
                <w:sz w:val="28"/>
                <w:szCs w:val="28"/>
                <w:highlight w:val="none"/>
              </w:rPr>
              <w:t>综合</w:t>
            </w:r>
            <w:r>
              <w:rPr>
                <w:rFonts w:hint="eastAsia" w:ascii="方正仿宋_GBK" w:hAnsi="方正仿宋_GBK" w:eastAsia="方正仿宋_GBK" w:cs="方正仿宋_GBK"/>
                <w:color w:val="auto"/>
                <w:sz w:val="28"/>
                <w:szCs w:val="28"/>
                <w:highlight w:val="none"/>
                <w:lang w:eastAsia="zh-CN"/>
              </w:rPr>
              <w:t>）医院</w:t>
            </w:r>
          </w:p>
        </w:tc>
      </w:tr>
      <w:tr w14:paraId="1C065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trPr>
        <w:tc>
          <w:tcPr>
            <w:tcW w:w="3018" w:type="dxa"/>
          </w:tcPr>
          <w:p w14:paraId="1C62E7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注册床位数：</w:t>
            </w:r>
          </w:p>
        </w:tc>
        <w:tc>
          <w:tcPr>
            <w:tcW w:w="5581" w:type="dxa"/>
          </w:tcPr>
          <w:p w14:paraId="3E21A6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1050张（实际800张；预计二期逐步投入使用后，取二期编制床位数（500张）的折中数计算为250张）</w:t>
            </w:r>
          </w:p>
        </w:tc>
      </w:tr>
      <w:tr w14:paraId="5EDF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3018" w:type="dxa"/>
          </w:tcPr>
          <w:p w14:paraId="5A65CD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医务人员数：</w:t>
            </w:r>
          </w:p>
        </w:tc>
        <w:tc>
          <w:tcPr>
            <w:tcW w:w="5581" w:type="dxa"/>
          </w:tcPr>
          <w:p w14:paraId="092FAB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1094</w:t>
            </w:r>
            <w:r>
              <w:rPr>
                <w:rFonts w:hint="eastAsia" w:ascii="方正仿宋_GBK" w:hAnsi="方正仿宋_GBK" w:eastAsia="方正仿宋_GBK" w:cs="方正仿宋_GBK"/>
                <w:color w:val="auto"/>
                <w:sz w:val="28"/>
                <w:szCs w:val="28"/>
                <w:highlight w:val="none"/>
              </w:rPr>
              <w:t>人</w:t>
            </w:r>
          </w:p>
        </w:tc>
      </w:tr>
      <w:tr w14:paraId="69F46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3018" w:type="dxa"/>
            <w:vAlign w:val="top"/>
          </w:tcPr>
          <w:p w14:paraId="509A18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上年度</w:t>
            </w:r>
            <w:r>
              <w:rPr>
                <w:rFonts w:hint="eastAsia" w:ascii="方正仿宋_GBK" w:hAnsi="方正仿宋_GBK" w:eastAsia="方正仿宋_GBK" w:cs="方正仿宋_GBK"/>
                <w:color w:val="auto"/>
                <w:sz w:val="28"/>
                <w:szCs w:val="28"/>
                <w:highlight w:val="none"/>
                <w:lang w:eastAsia="zh-CN"/>
              </w:rPr>
              <w:t>门诊量</w:t>
            </w:r>
            <w:r>
              <w:rPr>
                <w:rFonts w:hint="eastAsia" w:ascii="方正仿宋_GBK" w:hAnsi="方正仿宋_GBK" w:eastAsia="方正仿宋_GBK" w:cs="方正仿宋_GBK"/>
                <w:color w:val="auto"/>
                <w:sz w:val="28"/>
                <w:szCs w:val="28"/>
                <w:highlight w:val="none"/>
              </w:rPr>
              <w:t>：</w:t>
            </w:r>
          </w:p>
        </w:tc>
        <w:tc>
          <w:tcPr>
            <w:tcW w:w="5581" w:type="dxa"/>
            <w:vAlign w:val="top"/>
          </w:tcPr>
          <w:p w14:paraId="117BF0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89.75万</w:t>
            </w:r>
            <w:r>
              <w:rPr>
                <w:rFonts w:hint="eastAsia" w:ascii="方正仿宋_GBK" w:hAnsi="方正仿宋_GBK" w:eastAsia="方正仿宋_GBK" w:cs="方正仿宋_GBK"/>
                <w:color w:val="auto"/>
                <w:sz w:val="28"/>
                <w:szCs w:val="28"/>
                <w:highlight w:val="none"/>
              </w:rPr>
              <w:t>人次</w:t>
            </w:r>
          </w:p>
        </w:tc>
      </w:tr>
      <w:tr w14:paraId="4B4C2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3018" w:type="dxa"/>
            <w:vAlign w:val="top"/>
          </w:tcPr>
          <w:p w14:paraId="18473D4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上年度出院人数：</w:t>
            </w:r>
          </w:p>
        </w:tc>
        <w:tc>
          <w:tcPr>
            <w:tcW w:w="5581" w:type="dxa"/>
            <w:vAlign w:val="top"/>
          </w:tcPr>
          <w:p w14:paraId="1A8125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2.74</w:t>
            </w:r>
            <w:r>
              <w:rPr>
                <w:rFonts w:hint="eastAsia" w:ascii="方正仿宋_GBK" w:hAnsi="方正仿宋_GBK" w:eastAsia="方正仿宋_GBK" w:cs="方正仿宋_GBK"/>
                <w:color w:val="auto"/>
                <w:sz w:val="28"/>
                <w:szCs w:val="28"/>
                <w:highlight w:val="none"/>
              </w:rPr>
              <w:t>万人次</w:t>
            </w:r>
          </w:p>
        </w:tc>
      </w:tr>
    </w:tbl>
    <w:p w14:paraId="48F680C8">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val="en-US" w:eastAsia="zh-CN" w:bidi="ar-SA"/>
          <w14:textFill>
            <w14:solidFill>
              <w14:schemeClr w14:val="tx1"/>
            </w14:solidFill>
          </w14:textFill>
        </w:rPr>
        <w:t>二、供应商服务要求及工作范围</w:t>
      </w:r>
    </w:p>
    <w:p w14:paraId="5EE7F962">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（一）承保条件</w:t>
      </w:r>
    </w:p>
    <w:tbl>
      <w:tblPr>
        <w:tblStyle w:val="5"/>
        <w:tblW w:w="10034"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000"/>
        <w:gridCol w:w="2166"/>
        <w:gridCol w:w="3234"/>
        <w:gridCol w:w="1250"/>
      </w:tblGrid>
      <w:tr w14:paraId="7205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84" w:type="dxa"/>
            <w:noWrap w:val="0"/>
            <w:vAlign w:val="center"/>
          </w:tcPr>
          <w:p w14:paraId="781595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方案</w:t>
            </w:r>
          </w:p>
        </w:tc>
        <w:tc>
          <w:tcPr>
            <w:tcW w:w="2000" w:type="dxa"/>
            <w:noWrap w:val="0"/>
            <w:vAlign w:val="center"/>
          </w:tcPr>
          <w:p w14:paraId="2BAA12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累计赔偿限额</w:t>
            </w:r>
          </w:p>
        </w:tc>
        <w:tc>
          <w:tcPr>
            <w:tcW w:w="2166" w:type="dxa"/>
            <w:noWrap w:val="0"/>
            <w:vAlign w:val="center"/>
          </w:tcPr>
          <w:p w14:paraId="01E4E6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每次事故赔偿限额</w:t>
            </w:r>
          </w:p>
        </w:tc>
        <w:tc>
          <w:tcPr>
            <w:tcW w:w="3234" w:type="dxa"/>
            <w:noWrap w:val="0"/>
            <w:vAlign w:val="center"/>
          </w:tcPr>
          <w:p w14:paraId="029E54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法律费每次及累计赔偿限额</w:t>
            </w:r>
          </w:p>
        </w:tc>
        <w:tc>
          <w:tcPr>
            <w:tcW w:w="1250" w:type="dxa"/>
            <w:noWrap w:val="0"/>
            <w:vAlign w:val="center"/>
          </w:tcPr>
          <w:p w14:paraId="32D7AC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免赔额</w:t>
            </w:r>
          </w:p>
        </w:tc>
      </w:tr>
      <w:tr w14:paraId="6F6A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84" w:type="dxa"/>
            <w:noWrap w:val="0"/>
            <w:vAlign w:val="center"/>
          </w:tcPr>
          <w:p w14:paraId="6DD41D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方案</w:t>
            </w:r>
          </w:p>
        </w:tc>
        <w:tc>
          <w:tcPr>
            <w:tcW w:w="2000" w:type="dxa"/>
            <w:noWrap w:val="0"/>
            <w:vAlign w:val="center"/>
          </w:tcPr>
          <w:p w14:paraId="3DC174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400万元</w:t>
            </w:r>
          </w:p>
        </w:tc>
        <w:tc>
          <w:tcPr>
            <w:tcW w:w="2166" w:type="dxa"/>
            <w:noWrap w:val="0"/>
            <w:vAlign w:val="center"/>
          </w:tcPr>
          <w:p w14:paraId="53E0AC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100万元</w:t>
            </w:r>
          </w:p>
        </w:tc>
        <w:tc>
          <w:tcPr>
            <w:tcW w:w="3234" w:type="dxa"/>
            <w:noWrap w:val="0"/>
            <w:vAlign w:val="center"/>
          </w:tcPr>
          <w:p w14:paraId="7B90A6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10/40万元</w:t>
            </w:r>
          </w:p>
        </w:tc>
        <w:tc>
          <w:tcPr>
            <w:tcW w:w="1250" w:type="dxa"/>
            <w:noWrap w:val="0"/>
            <w:vAlign w:val="center"/>
          </w:tcPr>
          <w:p w14:paraId="5FF124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零免赔</w:t>
            </w:r>
          </w:p>
        </w:tc>
      </w:tr>
      <w:tr w14:paraId="6310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84" w:type="dxa"/>
            <w:noWrap w:val="0"/>
            <w:vAlign w:val="center"/>
          </w:tcPr>
          <w:p w14:paraId="2BEDDC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保险期间</w:t>
            </w:r>
          </w:p>
        </w:tc>
        <w:tc>
          <w:tcPr>
            <w:tcW w:w="8650" w:type="dxa"/>
            <w:gridSpan w:val="4"/>
            <w:noWrap w:val="0"/>
            <w:vAlign w:val="center"/>
          </w:tcPr>
          <w:p w14:paraId="6EA3A6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一年，2024年8月17日0时至2025年8月16日24时</w:t>
            </w:r>
          </w:p>
        </w:tc>
      </w:tr>
      <w:tr w14:paraId="7C63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84" w:type="dxa"/>
            <w:noWrap w:val="0"/>
            <w:vAlign w:val="center"/>
          </w:tcPr>
          <w:p w14:paraId="1EF9D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追溯期</w:t>
            </w:r>
          </w:p>
        </w:tc>
        <w:tc>
          <w:tcPr>
            <w:tcW w:w="8650" w:type="dxa"/>
            <w:gridSpan w:val="4"/>
            <w:noWrap w:val="0"/>
            <w:vAlign w:val="center"/>
          </w:tcPr>
          <w:p w14:paraId="6375CF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追溯期设置期限为三年，</w:t>
            </w:r>
            <w:r>
              <w:rPr>
                <w:rFonts w:hint="eastAsia" w:ascii="方正仿宋_GBK" w:hAnsi="方正仿宋_GBK" w:eastAsia="方正仿宋_GBK" w:cs="方正仿宋_GBK"/>
                <w:color w:val="auto"/>
                <w:sz w:val="28"/>
                <w:szCs w:val="28"/>
                <w:highlight w:val="none"/>
                <w:lang w:val="en-US" w:eastAsia="zh-CN"/>
              </w:rPr>
              <w:t>2021年8月17日0时至2024年8月16日24时</w:t>
            </w:r>
          </w:p>
        </w:tc>
      </w:tr>
    </w:tbl>
    <w:p w14:paraId="6E3FF2C6">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rPr>
        <w:t>保险责任</w:t>
      </w:r>
    </w:p>
    <w:p w14:paraId="1D823BD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在保险期间</w:t>
      </w:r>
      <w:r>
        <w:rPr>
          <w:rFonts w:hint="eastAsia" w:ascii="方正仿宋_GBK" w:hAnsi="方正仿宋_GBK" w:eastAsia="方正仿宋_GBK" w:cs="方正仿宋_GBK"/>
          <w:sz w:val="28"/>
          <w:szCs w:val="28"/>
          <w:lang w:eastAsia="zh-CN"/>
        </w:rPr>
        <w:t>或</w:t>
      </w:r>
      <w:r>
        <w:rPr>
          <w:rFonts w:hint="eastAsia" w:ascii="方正仿宋_GBK" w:hAnsi="方正仿宋_GBK" w:eastAsia="方正仿宋_GBK" w:cs="方正仿宋_GBK"/>
          <w:sz w:val="28"/>
          <w:szCs w:val="28"/>
        </w:rPr>
        <w:t>追溯期内，</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及其医务人员在从事与其资格相符的诊疗活动中造成患者人身损害，患者或其近亲属或其代理人在保险期间内首次向</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提出损害赔偿请求，依照中华人民共和国法律（不包括港、澳、台地区法律）应由</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承担经济赔偿责任的以下情形，</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按照合同约定负责赔偿。</w:t>
      </w:r>
    </w:p>
    <w:p w14:paraId="4C9A7A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患者在诊疗</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护理</w:t>
      </w:r>
      <w:r>
        <w:rPr>
          <w:rFonts w:hint="eastAsia" w:ascii="方正仿宋_GBK" w:hAnsi="方正仿宋_GBK" w:eastAsia="方正仿宋_GBK" w:cs="方正仿宋_GBK"/>
          <w:sz w:val="28"/>
          <w:szCs w:val="28"/>
        </w:rPr>
        <w:t>活动中受到损害，</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及其医务人员有过错的，包括但不限于以下情形：</w:t>
      </w:r>
    </w:p>
    <w:p w14:paraId="1121C1F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医务人员在诊疗活动中未向患者或者其近亲属说明病情和医疗措施，需要实施手术、特殊检查、特殊治疗的，医务人员未及时向患者或者其近亲属说明医疗风险、替代医疗方案等情况并取得其书面同意的；</w:t>
      </w:r>
    </w:p>
    <w:p w14:paraId="2FEB23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医务人员在诊疗活动中未尽到与当时的医疗水平相应的诊疗义务；</w:t>
      </w:r>
    </w:p>
    <w:p w14:paraId="6D6D29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患者或其近亲属不配合医疗机构进行符合诊疗</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护理规范的诊疗活动；</w:t>
      </w:r>
    </w:p>
    <w:p w14:paraId="16BAC3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非故意违反有关诊疗</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护理规范的。</w:t>
      </w:r>
    </w:p>
    <w:p w14:paraId="51A579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因药品、消毒药剂、医疗器械</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的缺陷造成患者损害，患者向医疗机构请求赔偿的。</w:t>
      </w:r>
    </w:p>
    <w:p w14:paraId="7C703EE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及其医务人员在从事与其资格相符的诊疗活动过程中无过错行为，患方亦无过错，但患者仍产生了人身损害，且</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及其医务人员的诊疗行为与患者的人身损害之间存在事实上的因果关系，患者或其近亲属或其代理人在保险期间内首次向</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提出补偿</w:t>
      </w:r>
      <w:r>
        <w:rPr>
          <w:rFonts w:hint="eastAsia" w:ascii="方正仿宋_GBK" w:hAnsi="方正仿宋_GBK" w:eastAsia="方正仿宋_GBK" w:cs="方正仿宋_GBK"/>
          <w:sz w:val="28"/>
          <w:szCs w:val="28"/>
          <w:highlight w:val="none"/>
        </w:rPr>
        <w:t>请</w:t>
      </w:r>
      <w:r>
        <w:rPr>
          <w:rFonts w:hint="eastAsia" w:ascii="方正仿宋_GBK" w:hAnsi="方正仿宋_GBK" w:eastAsia="方正仿宋_GBK" w:cs="方正仿宋_GBK"/>
          <w:sz w:val="28"/>
          <w:szCs w:val="28"/>
          <w:highlight w:val="none"/>
          <w:lang w:val="en-US" w:eastAsia="zh-CN"/>
        </w:rPr>
        <w:t>求，依法院判决或仲裁裁决或经保单约定的医患纠纷人民调解委员会等第三方调解组织</w:t>
      </w:r>
      <w:r>
        <w:rPr>
          <w:rFonts w:hint="eastAsia" w:ascii="方正仿宋_GBK" w:hAnsi="方正仿宋_GBK" w:eastAsia="方正仿宋_GBK" w:cs="方正仿宋_GBK"/>
          <w:sz w:val="28"/>
          <w:szCs w:val="28"/>
          <w:highlight w:val="none"/>
        </w:rPr>
        <w:t>（下文简称“</w:t>
      </w:r>
      <w:r>
        <w:rPr>
          <w:rFonts w:hint="eastAsia" w:ascii="方正仿宋_GBK" w:hAnsi="方正仿宋_GBK" w:eastAsia="方正仿宋_GBK" w:cs="方正仿宋_GBK"/>
          <w:sz w:val="28"/>
          <w:szCs w:val="28"/>
          <w:highlight w:val="none"/>
          <w:lang w:val="en-US" w:eastAsia="zh-CN"/>
        </w:rPr>
        <w:t>调解委员会</w:t>
      </w:r>
      <w:r>
        <w:rPr>
          <w:rFonts w:hint="eastAsia" w:ascii="方正仿宋_GBK" w:hAnsi="方正仿宋_GBK" w:eastAsia="方正仿宋_GBK" w:cs="方正仿宋_GBK"/>
          <w:sz w:val="28"/>
          <w:szCs w:val="28"/>
          <w:highlight w:val="none"/>
        </w:rPr>
        <w:t>”）调解，基</w:t>
      </w:r>
      <w:r>
        <w:rPr>
          <w:rFonts w:hint="eastAsia" w:ascii="方正仿宋_GBK" w:hAnsi="方正仿宋_GBK" w:eastAsia="方正仿宋_GBK" w:cs="方正仿宋_GBK"/>
          <w:sz w:val="28"/>
          <w:szCs w:val="28"/>
        </w:rPr>
        <w:t>于公平原则应由</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承担的经济损失补偿责任，</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在保险合同约定的赔偿限额内负责</w:t>
      </w:r>
      <w:r>
        <w:rPr>
          <w:rFonts w:hint="eastAsia" w:ascii="方正仿宋_GBK" w:hAnsi="方正仿宋_GBK" w:eastAsia="方正仿宋_GBK" w:cs="方正仿宋_GBK"/>
          <w:color w:val="auto"/>
          <w:sz w:val="28"/>
          <w:szCs w:val="28"/>
        </w:rPr>
        <w:t>赔偿。</w:t>
      </w:r>
    </w:p>
    <w:p w14:paraId="19458D1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保险事故发生后，</w:t>
      </w:r>
      <w:r>
        <w:rPr>
          <w:rFonts w:hint="eastAsia" w:ascii="方正仿宋_GBK" w:hAnsi="方正仿宋_GBK" w:eastAsia="方正仿宋_GBK" w:cs="方正仿宋_GBK"/>
          <w:color w:val="auto"/>
          <w:sz w:val="28"/>
          <w:szCs w:val="28"/>
          <w:lang w:eastAsia="zh-CN"/>
        </w:rPr>
        <w:t>被保险人</w:t>
      </w:r>
      <w:r>
        <w:rPr>
          <w:rFonts w:hint="eastAsia" w:ascii="方正仿宋_GBK" w:hAnsi="方正仿宋_GBK" w:eastAsia="方正仿宋_GBK" w:cs="方正仿宋_GBK"/>
          <w:color w:val="auto"/>
          <w:sz w:val="28"/>
          <w:szCs w:val="28"/>
        </w:rPr>
        <w:t>因保险事故而被提起仲裁或诉讼的，对应由</w:t>
      </w:r>
      <w:r>
        <w:rPr>
          <w:rFonts w:hint="eastAsia" w:ascii="方正仿宋_GBK" w:hAnsi="方正仿宋_GBK" w:eastAsia="方正仿宋_GBK" w:cs="方正仿宋_GBK"/>
          <w:color w:val="auto"/>
          <w:sz w:val="28"/>
          <w:szCs w:val="28"/>
          <w:lang w:eastAsia="zh-CN"/>
        </w:rPr>
        <w:t>被保险人</w:t>
      </w:r>
      <w:r>
        <w:rPr>
          <w:rFonts w:hint="eastAsia" w:ascii="方正仿宋_GBK" w:hAnsi="方正仿宋_GBK" w:eastAsia="方正仿宋_GBK" w:cs="方正仿宋_GBK"/>
          <w:color w:val="auto"/>
          <w:sz w:val="28"/>
          <w:szCs w:val="28"/>
        </w:rPr>
        <w:t>支付的仲裁或诉讼费用（包括可能产生的案件受理费、勘验费、鉴定费、律师费、解剖费等）以及</w:t>
      </w:r>
      <w:r>
        <w:rPr>
          <w:rFonts w:hint="eastAsia" w:ascii="方正仿宋_GBK" w:hAnsi="方正仿宋_GBK" w:eastAsia="方正仿宋_GBK" w:cs="方正仿宋_GBK"/>
          <w:sz w:val="28"/>
          <w:szCs w:val="28"/>
        </w:rPr>
        <w:t>事先经</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书面同意支付的其他必要的、合理的费用（包括代表</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参加医疗损害鉴定或医疗事故鉴定或庭审的人员因参加上述活动而产生的差旅费以及专家咨询费），</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按照保险合同的约定也负责赔偿。</w:t>
      </w:r>
    </w:p>
    <w:p w14:paraId="5AB37B1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（三）</w:t>
      </w:r>
      <w:r>
        <w:rPr>
          <w:rFonts w:hint="eastAsia" w:ascii="方正仿宋_GBK" w:hAnsi="方正仿宋_GBK" w:eastAsia="方正仿宋_GBK" w:cs="方正仿宋_GBK"/>
          <w:b/>
          <w:bCs/>
          <w:sz w:val="28"/>
          <w:szCs w:val="28"/>
        </w:rPr>
        <w:t>保单责任限额：</w:t>
      </w:r>
    </w:p>
    <w:p w14:paraId="6E8008E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各</w:t>
      </w: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应满足保险责任限额的要求，保险期限内，保单累计责任限额</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400</w:t>
      </w:r>
      <w:r>
        <w:rPr>
          <w:rFonts w:hint="eastAsia" w:ascii="方正仿宋_GBK" w:hAnsi="方正仿宋_GBK" w:eastAsia="方正仿宋_GBK" w:cs="方正仿宋_GBK"/>
          <w:sz w:val="28"/>
          <w:szCs w:val="28"/>
          <w:highlight w:val="none"/>
        </w:rPr>
        <w:t>万元，其中：医疗责任限额不低于</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400</w:t>
      </w:r>
      <w:r>
        <w:rPr>
          <w:rFonts w:hint="eastAsia" w:ascii="方正仿宋_GBK" w:hAnsi="方正仿宋_GBK" w:eastAsia="方正仿宋_GBK" w:cs="方正仿宋_GBK"/>
          <w:sz w:val="28"/>
          <w:szCs w:val="28"/>
          <w:highlight w:val="none"/>
        </w:rPr>
        <w:t>万元</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每次事故责任限额不低</w:t>
      </w:r>
      <w:r>
        <w:rPr>
          <w:rFonts w:hint="eastAsia" w:ascii="方正仿宋_GBK" w:hAnsi="方正仿宋_GBK" w:eastAsia="方正仿宋_GBK" w:cs="方正仿宋_GBK"/>
          <w:sz w:val="28"/>
          <w:szCs w:val="28"/>
          <w:highlight w:val="none"/>
          <w:lang w:val="en-US" w:eastAsia="zh-CN"/>
        </w:rPr>
        <w:t>于：10</w:t>
      </w:r>
      <w:r>
        <w:rPr>
          <w:rFonts w:hint="eastAsia" w:ascii="方正仿宋_GBK" w:hAnsi="方正仿宋_GBK" w:eastAsia="方正仿宋_GBK" w:cs="方正仿宋_GBK"/>
          <w:sz w:val="28"/>
          <w:szCs w:val="28"/>
          <w:highlight w:val="none"/>
        </w:rPr>
        <w:t>0万元。</w:t>
      </w:r>
    </w:p>
    <w:p w14:paraId="297222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（四）</w:t>
      </w:r>
      <w:r>
        <w:rPr>
          <w:rFonts w:hint="eastAsia" w:ascii="方正仿宋_GBK" w:hAnsi="方正仿宋_GBK" w:eastAsia="方正仿宋_GBK" w:cs="方正仿宋_GBK"/>
          <w:b/>
          <w:bCs/>
          <w:sz w:val="28"/>
          <w:szCs w:val="28"/>
        </w:rPr>
        <w:t>赔偿处理约定</w:t>
      </w:r>
    </w:p>
    <w:p w14:paraId="067B347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经济赔偿责任参照《民法典》《最高人民法院关于审理人身损害赔偿案件适用法律若干问题的解释》《医疗纠纷预防和处理条例》《医疗事故处理条例》</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规定计算，具体赔偿项目包括但不限于以下项目：</w:t>
      </w:r>
    </w:p>
    <w:p w14:paraId="1CAA45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患者因就医治疗支出的各项费用以及因误工减少的收入，包括医疗费、误工费、护理费、交通费、住宿费、住院伙食补助费、必要的营养费</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w:t>
      </w:r>
    </w:p>
    <w:p w14:paraId="07935E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患者因伤致残的，其因增加生活上需要所支出的必要费用以及因丧失劳动能力导致的收入损失，包括残疾赔偿金、残疾辅助器具费、被扶养人生活费，以及因康复护理、继续治疗实际发生的必要的康复费、护理费、</w:t>
      </w:r>
      <w:r>
        <w:rPr>
          <w:rFonts w:hint="eastAsia" w:ascii="方正仿宋_GBK" w:hAnsi="方正仿宋_GBK" w:eastAsia="方正仿宋_GBK" w:cs="方正仿宋_GBK"/>
          <w:color w:val="auto"/>
          <w:sz w:val="28"/>
          <w:szCs w:val="28"/>
        </w:rPr>
        <w:t>后续治疗费</w:t>
      </w:r>
      <w:r>
        <w:rPr>
          <w:rFonts w:hint="eastAsia" w:ascii="方正仿宋_GBK" w:hAnsi="方正仿宋_GBK" w:eastAsia="方正仿宋_GBK" w:cs="方正仿宋_GBK"/>
          <w:color w:val="auto"/>
          <w:sz w:val="28"/>
          <w:szCs w:val="28"/>
          <w:lang w:val="en-US" w:eastAsia="zh-CN"/>
        </w:rPr>
        <w:t>等</w:t>
      </w:r>
      <w:r>
        <w:rPr>
          <w:rFonts w:hint="eastAsia" w:ascii="方正仿宋_GBK" w:hAnsi="方正仿宋_GBK" w:eastAsia="方正仿宋_GBK" w:cs="方正仿宋_GBK"/>
          <w:color w:val="auto"/>
          <w:sz w:val="28"/>
          <w:szCs w:val="28"/>
        </w:rPr>
        <w:t>；</w:t>
      </w:r>
    </w:p>
    <w:p w14:paraId="0A5491E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患者死亡的，除应当根据抢救治疗情况赔偿</w:t>
      </w:r>
      <w:r>
        <w:rPr>
          <w:rFonts w:hint="eastAsia" w:ascii="方正仿宋_GBK" w:hAnsi="方正仿宋_GBK" w:eastAsia="方正仿宋_GBK" w:cs="方正仿宋_GBK"/>
          <w:color w:val="auto"/>
          <w:sz w:val="28"/>
          <w:szCs w:val="28"/>
          <w:lang w:eastAsia="zh-CN"/>
        </w:rPr>
        <w:t>上述第（1）条</w:t>
      </w:r>
      <w:r>
        <w:rPr>
          <w:rFonts w:hint="eastAsia" w:ascii="方正仿宋_GBK" w:hAnsi="方正仿宋_GBK" w:eastAsia="方正仿宋_GBK" w:cs="方正仿宋_GBK"/>
          <w:color w:val="auto"/>
          <w:sz w:val="28"/>
          <w:szCs w:val="28"/>
        </w:rPr>
        <w:t>规定的相关费用外，还应当赔偿丧葬费、被扶养人生活费、死亡补偿费以及受害人亲属办理丧葬事宜支出的交通费、住宿费和误工损失等其他合理费用；</w:t>
      </w:r>
    </w:p>
    <w:p w14:paraId="69D0E8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患者或其近亲属遭受精神损害，经仲裁机构或法院判决、仲裁、调解或</w:t>
      </w:r>
      <w:r>
        <w:rPr>
          <w:rFonts w:hint="eastAsia" w:ascii="方正仿宋_GBK" w:hAnsi="方正仿宋_GBK" w:eastAsia="方正仿宋_GBK" w:cs="方正仿宋_GBK"/>
          <w:color w:val="auto"/>
          <w:sz w:val="28"/>
          <w:szCs w:val="28"/>
          <w:highlight w:val="none"/>
        </w:rPr>
        <w:t>经</w:t>
      </w:r>
      <w:r>
        <w:rPr>
          <w:rFonts w:hint="eastAsia" w:ascii="方正仿宋_GBK" w:hAnsi="方正仿宋_GBK" w:eastAsia="方正仿宋_GBK" w:cs="方正仿宋_GBK"/>
          <w:color w:val="auto"/>
          <w:sz w:val="28"/>
          <w:szCs w:val="28"/>
          <w:highlight w:val="none"/>
          <w:lang w:val="en-US" w:eastAsia="zh-CN"/>
        </w:rPr>
        <w:t>依法设立</w:t>
      </w:r>
      <w:r>
        <w:rPr>
          <w:rFonts w:hint="eastAsia" w:ascii="方正仿宋_GBK" w:hAnsi="方正仿宋_GBK" w:eastAsia="方正仿宋_GBK" w:cs="方正仿宋_GBK"/>
          <w:color w:val="auto"/>
          <w:sz w:val="28"/>
          <w:szCs w:val="28"/>
          <w:highlight w:val="none"/>
          <w:u w:val="none"/>
        </w:rPr>
        <w:t>的</w:t>
      </w:r>
      <w:r>
        <w:rPr>
          <w:rFonts w:hint="eastAsia" w:ascii="方正仿宋_GBK" w:hAnsi="方正仿宋_GBK" w:eastAsia="方正仿宋_GBK" w:cs="方正仿宋_GBK"/>
          <w:color w:val="auto"/>
          <w:sz w:val="28"/>
          <w:szCs w:val="28"/>
        </w:rPr>
        <w:t>人民调解委员会酌情评鉴所需支付的精神损害抚慰金。</w:t>
      </w:r>
    </w:p>
    <w:p w14:paraId="5FE1FC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的请求，</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应当直接向患方赔偿保险金。</w:t>
      </w:r>
    </w:p>
    <w:p w14:paraId="419A7FC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诉讼案件律师费用，</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应当与</w:t>
      </w:r>
      <w:r>
        <w:rPr>
          <w:rFonts w:hint="eastAsia" w:ascii="方正仿宋_GBK" w:hAnsi="方正仿宋_GBK" w:eastAsia="方正仿宋_GBK" w:cs="方正仿宋_GBK"/>
          <w:sz w:val="28"/>
          <w:szCs w:val="28"/>
          <w:lang w:eastAsia="zh-CN"/>
        </w:rPr>
        <w:t>被保险人</w:t>
      </w:r>
      <w:r>
        <w:rPr>
          <w:rFonts w:hint="eastAsia" w:ascii="方正仿宋_GBK" w:hAnsi="方正仿宋_GBK" w:eastAsia="方正仿宋_GBK" w:cs="方正仿宋_GBK"/>
          <w:sz w:val="28"/>
          <w:szCs w:val="28"/>
        </w:rPr>
        <w:t>及代理律师签署三方协议，由</w:t>
      </w:r>
      <w:r>
        <w:rPr>
          <w:rFonts w:hint="eastAsia" w:ascii="方正仿宋_GBK" w:hAnsi="方正仿宋_GBK" w:eastAsia="方正仿宋_GBK" w:cs="方正仿宋_GBK"/>
          <w:sz w:val="28"/>
          <w:szCs w:val="28"/>
          <w:lang w:eastAsia="zh-CN"/>
        </w:rPr>
        <w:t>供应商</w:t>
      </w:r>
      <w:r>
        <w:rPr>
          <w:rFonts w:hint="eastAsia" w:ascii="方正仿宋_GBK" w:hAnsi="方正仿宋_GBK" w:eastAsia="方正仿宋_GBK" w:cs="方正仿宋_GBK"/>
          <w:sz w:val="28"/>
          <w:szCs w:val="28"/>
        </w:rPr>
        <w:t>直接支付给代理律师。</w:t>
      </w:r>
    </w:p>
    <w:p w14:paraId="010A2E2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（五）理赔服务</w:t>
      </w:r>
      <w:r>
        <w:rPr>
          <w:rFonts w:hint="eastAsia" w:ascii="方正仿宋_GBK" w:hAnsi="方正仿宋_GBK" w:eastAsia="方正仿宋_GBK" w:cs="方正仿宋_GBK"/>
          <w:sz w:val="28"/>
          <w:szCs w:val="28"/>
        </w:rPr>
        <w:t>：</w:t>
      </w:r>
    </w:p>
    <w:p w14:paraId="1A85A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微软雅黑" w:hAnsi="微软雅黑" w:eastAsia="微软雅黑" w:cs="微软雅黑"/>
          <w:b/>
          <w:bCs/>
          <w:sz w:val="28"/>
          <w:szCs w:val="28"/>
          <w:lang w:val="en-US" w:eastAsia="zh-CN"/>
        </w:rPr>
        <w:t>★</w:t>
      </w:r>
      <w:r>
        <w:rPr>
          <w:rFonts w:hint="eastAsia" w:ascii="方正仿宋_GBK" w:hAnsi="方正仿宋_GBK" w:eastAsia="方正仿宋_GBK" w:cs="方正仿宋_GBK"/>
          <w:color w:val="auto"/>
          <w:sz w:val="28"/>
          <w:szCs w:val="28"/>
          <w:highlight w:val="none"/>
          <w:lang w:val="en-US" w:eastAsia="zh-CN"/>
        </w:rPr>
        <w:t>1、核损时效</w:t>
      </w:r>
    </w:p>
    <w:p w14:paraId="3445CFB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在收到被保险人所提交的完整索赔材料后，需在以下时效内做出理赔决定，实现快速理赔，若在以下时间内未提出异议的，即视为双方就赔偿结果达成一致。</w:t>
      </w:r>
    </w:p>
    <w:tbl>
      <w:tblPr>
        <w:tblStyle w:val="5"/>
        <w:tblW w:w="9484"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5616"/>
        <w:gridCol w:w="2984"/>
      </w:tblGrid>
      <w:tr w14:paraId="2AEE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14:paraId="3007C9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序号</w:t>
            </w:r>
          </w:p>
        </w:tc>
        <w:tc>
          <w:tcPr>
            <w:tcW w:w="5616" w:type="dxa"/>
            <w:noWrap w:val="0"/>
            <w:vAlign w:val="center"/>
          </w:tcPr>
          <w:p w14:paraId="5D5FB3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索赔金额</w:t>
            </w:r>
          </w:p>
        </w:tc>
        <w:tc>
          <w:tcPr>
            <w:tcW w:w="2984" w:type="dxa"/>
            <w:noWrap w:val="0"/>
            <w:vAlign w:val="center"/>
          </w:tcPr>
          <w:p w14:paraId="723CB4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应向被保险人提出异议的时间</w:t>
            </w:r>
          </w:p>
        </w:tc>
      </w:tr>
      <w:tr w14:paraId="4B2B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14:paraId="464CAC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5616" w:type="dxa"/>
            <w:noWrap w:val="0"/>
            <w:vAlign w:val="center"/>
          </w:tcPr>
          <w:p w14:paraId="316133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人民币 5 万元（含 5 万元）以下</w:t>
            </w:r>
          </w:p>
        </w:tc>
        <w:tc>
          <w:tcPr>
            <w:tcW w:w="2984" w:type="dxa"/>
            <w:noWrap w:val="0"/>
            <w:vAlign w:val="center"/>
          </w:tcPr>
          <w:p w14:paraId="080BE7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5个工作日内</w:t>
            </w:r>
          </w:p>
        </w:tc>
      </w:tr>
      <w:tr w14:paraId="4FBB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14:paraId="7BA85A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5616" w:type="dxa"/>
            <w:noWrap w:val="0"/>
            <w:vAlign w:val="center"/>
          </w:tcPr>
          <w:p w14:paraId="5ABF55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人民币5—30万元（不含5万元，含30万元）</w:t>
            </w:r>
          </w:p>
        </w:tc>
        <w:tc>
          <w:tcPr>
            <w:tcW w:w="2984" w:type="dxa"/>
            <w:noWrap w:val="0"/>
            <w:vAlign w:val="center"/>
          </w:tcPr>
          <w:p w14:paraId="64E858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7个工作日内</w:t>
            </w:r>
          </w:p>
        </w:tc>
      </w:tr>
      <w:tr w14:paraId="44C5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noWrap w:val="0"/>
            <w:vAlign w:val="center"/>
          </w:tcPr>
          <w:p w14:paraId="33B888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w:t>
            </w:r>
          </w:p>
        </w:tc>
        <w:tc>
          <w:tcPr>
            <w:tcW w:w="5616" w:type="dxa"/>
            <w:noWrap w:val="0"/>
            <w:vAlign w:val="center"/>
          </w:tcPr>
          <w:p w14:paraId="1D3838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30 万元以上</w:t>
            </w:r>
          </w:p>
        </w:tc>
        <w:tc>
          <w:tcPr>
            <w:tcW w:w="2984" w:type="dxa"/>
            <w:noWrap w:val="0"/>
            <w:vAlign w:val="center"/>
          </w:tcPr>
          <w:p w14:paraId="03CF70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10个工作日内</w:t>
            </w:r>
          </w:p>
        </w:tc>
      </w:tr>
    </w:tbl>
    <w:p w14:paraId="143DA4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微软雅黑" w:hAnsi="微软雅黑" w:eastAsia="微软雅黑" w:cs="微软雅黑"/>
          <w:b/>
          <w:bCs/>
          <w:sz w:val="28"/>
          <w:szCs w:val="28"/>
          <w:lang w:val="en-US" w:eastAsia="zh-CN"/>
        </w:rPr>
        <w:t>★</w:t>
      </w:r>
      <w:r>
        <w:rPr>
          <w:rFonts w:hint="eastAsia" w:ascii="方正仿宋_GBK" w:hAnsi="方正仿宋_GBK" w:eastAsia="方正仿宋_GBK" w:cs="方正仿宋_GBK"/>
          <w:color w:val="auto"/>
          <w:sz w:val="28"/>
          <w:szCs w:val="28"/>
          <w:highlight w:val="none"/>
          <w:lang w:val="en-US" w:eastAsia="zh-CN"/>
        </w:rPr>
        <w:t>2、理赔时效</w:t>
      </w:r>
    </w:p>
    <w:tbl>
      <w:tblPr>
        <w:tblStyle w:val="5"/>
        <w:tblW w:w="95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5258"/>
        <w:gridCol w:w="3409"/>
      </w:tblGrid>
      <w:tr w14:paraId="6F62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688646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序号</w:t>
            </w:r>
          </w:p>
        </w:tc>
        <w:tc>
          <w:tcPr>
            <w:tcW w:w="5258" w:type="dxa"/>
            <w:noWrap w:val="0"/>
            <w:vAlign w:val="center"/>
          </w:tcPr>
          <w:p w14:paraId="518C23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索赔金额</w:t>
            </w:r>
          </w:p>
        </w:tc>
        <w:tc>
          <w:tcPr>
            <w:tcW w:w="3409" w:type="dxa"/>
            <w:noWrap w:val="0"/>
            <w:vAlign w:val="center"/>
          </w:tcPr>
          <w:p w14:paraId="6325B4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应向被保险人</w:t>
            </w:r>
            <w:bookmarkStart w:id="1" w:name="_GoBack"/>
            <w:bookmarkEnd w:id="1"/>
            <w:r>
              <w:rPr>
                <w:rFonts w:hint="eastAsia" w:ascii="方正仿宋_GBK" w:hAnsi="方正仿宋_GBK" w:eastAsia="方正仿宋_GBK" w:cs="方正仿宋_GBK"/>
                <w:b/>
                <w:bCs/>
                <w:color w:val="auto"/>
                <w:sz w:val="28"/>
                <w:szCs w:val="28"/>
                <w:highlight w:val="none"/>
                <w:lang w:val="en-US" w:eastAsia="zh-CN"/>
              </w:rPr>
              <w:t>提出异议的时间</w:t>
            </w:r>
          </w:p>
        </w:tc>
      </w:tr>
      <w:tr w14:paraId="4053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83" w:type="dxa"/>
            <w:noWrap w:val="0"/>
            <w:vAlign w:val="center"/>
          </w:tcPr>
          <w:p w14:paraId="1C3967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5258" w:type="dxa"/>
            <w:noWrap w:val="0"/>
            <w:vAlign w:val="center"/>
          </w:tcPr>
          <w:p w14:paraId="17F742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1万元以下（含1万元）</w:t>
            </w:r>
          </w:p>
        </w:tc>
        <w:tc>
          <w:tcPr>
            <w:tcW w:w="3409" w:type="dxa"/>
            <w:noWrap w:val="0"/>
            <w:vAlign w:val="center"/>
          </w:tcPr>
          <w:p w14:paraId="43B922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3个工作日内</w:t>
            </w:r>
          </w:p>
        </w:tc>
      </w:tr>
      <w:tr w14:paraId="5522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155FAE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5258" w:type="dxa"/>
            <w:noWrap w:val="0"/>
            <w:vAlign w:val="center"/>
          </w:tcPr>
          <w:p w14:paraId="326D6C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1—5万元（不含1万元，含5万元）</w:t>
            </w:r>
          </w:p>
        </w:tc>
        <w:tc>
          <w:tcPr>
            <w:tcW w:w="3409" w:type="dxa"/>
            <w:noWrap w:val="0"/>
            <w:vAlign w:val="center"/>
          </w:tcPr>
          <w:p w14:paraId="4033CD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5个工作日内</w:t>
            </w:r>
          </w:p>
        </w:tc>
      </w:tr>
      <w:tr w14:paraId="6EBF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1792C8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w:t>
            </w:r>
          </w:p>
        </w:tc>
        <w:tc>
          <w:tcPr>
            <w:tcW w:w="5258" w:type="dxa"/>
            <w:noWrap w:val="0"/>
            <w:vAlign w:val="center"/>
          </w:tcPr>
          <w:p w14:paraId="329BBA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5—20万元（不含5万元，含20万元）</w:t>
            </w:r>
          </w:p>
        </w:tc>
        <w:tc>
          <w:tcPr>
            <w:tcW w:w="3409" w:type="dxa"/>
            <w:noWrap w:val="0"/>
            <w:vAlign w:val="center"/>
          </w:tcPr>
          <w:p w14:paraId="4FE8DA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7个工作日内</w:t>
            </w:r>
          </w:p>
        </w:tc>
      </w:tr>
      <w:tr w14:paraId="304B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544984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w:t>
            </w:r>
          </w:p>
        </w:tc>
        <w:tc>
          <w:tcPr>
            <w:tcW w:w="5258" w:type="dxa"/>
            <w:noWrap w:val="0"/>
            <w:vAlign w:val="center"/>
          </w:tcPr>
          <w:p w14:paraId="5BA61A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20—30 万元（不含 20 万元，含 30 万元）</w:t>
            </w:r>
          </w:p>
        </w:tc>
        <w:tc>
          <w:tcPr>
            <w:tcW w:w="3409" w:type="dxa"/>
            <w:noWrap w:val="0"/>
            <w:vAlign w:val="center"/>
          </w:tcPr>
          <w:p w14:paraId="4BC187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 个工作日内</w:t>
            </w:r>
          </w:p>
        </w:tc>
      </w:tr>
      <w:tr w14:paraId="206A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15BFFA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w:t>
            </w:r>
          </w:p>
        </w:tc>
        <w:tc>
          <w:tcPr>
            <w:tcW w:w="5258" w:type="dxa"/>
            <w:noWrap w:val="0"/>
            <w:vAlign w:val="center"/>
          </w:tcPr>
          <w:p w14:paraId="674D5E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30 万元以上（不含 30 万元）</w:t>
            </w:r>
          </w:p>
        </w:tc>
        <w:tc>
          <w:tcPr>
            <w:tcW w:w="3409" w:type="dxa"/>
            <w:noWrap w:val="0"/>
            <w:vAlign w:val="center"/>
          </w:tcPr>
          <w:p w14:paraId="4A2BA3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 个工作日内</w:t>
            </w:r>
          </w:p>
        </w:tc>
      </w:tr>
    </w:tbl>
    <w:p w14:paraId="2F14C5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kern w:val="2"/>
          <w:sz w:val="28"/>
          <w:szCs w:val="28"/>
          <w:lang w:val="en-US" w:eastAsia="zh-CN" w:bidi="ar-SA"/>
        </w:rPr>
        <w:t>3、</w:t>
      </w:r>
      <w:r>
        <w:rPr>
          <w:rFonts w:hint="eastAsia" w:ascii="方正仿宋_GBK" w:hAnsi="方正仿宋_GBK" w:eastAsia="方正仿宋_GBK" w:cs="方正仿宋_GBK"/>
          <w:color w:val="auto"/>
          <w:sz w:val="28"/>
          <w:szCs w:val="28"/>
          <w:highlight w:val="none"/>
          <w:lang w:val="en-US" w:eastAsia="zh-CN"/>
        </w:rPr>
        <w:t>其它约定</w:t>
      </w:r>
    </w:p>
    <w:p w14:paraId="35BFE1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为高效化解医疗纠纷案件，充分保障医疗机构的正常诊疗秩序，并</w:t>
      </w:r>
      <w:r>
        <w:rPr>
          <w:rFonts w:hint="eastAsia" w:ascii="方正仿宋_GBK" w:hAnsi="方正仿宋_GBK" w:eastAsia="方正仿宋_GBK" w:cs="方正仿宋_GBK"/>
          <w:color w:val="auto"/>
          <w:sz w:val="28"/>
          <w:szCs w:val="28"/>
        </w:rPr>
        <w:t>体现构建和谐社会之精神，对于赔偿金额（不含法律费用）在人民币1万元</w:t>
      </w:r>
      <w:r>
        <w:rPr>
          <w:rFonts w:hint="eastAsia" w:ascii="方正仿宋_GBK" w:hAnsi="方正仿宋_GBK" w:eastAsia="方正仿宋_GBK" w:cs="方正仿宋_GBK"/>
          <w:color w:val="auto"/>
          <w:sz w:val="28"/>
          <w:szCs w:val="28"/>
          <w:lang w:val="en-US" w:eastAsia="zh-CN"/>
        </w:rPr>
        <w:t>内</w:t>
      </w:r>
      <w:r>
        <w:rPr>
          <w:rFonts w:hint="eastAsia" w:ascii="方正仿宋_GBK" w:hAnsi="方正仿宋_GBK" w:eastAsia="方正仿宋_GBK" w:cs="方正仿宋_GBK"/>
          <w:color w:val="auto"/>
          <w:sz w:val="28"/>
          <w:szCs w:val="28"/>
        </w:rPr>
        <w:t>（含1万元）的医疗纠纷案件，以及对于</w:t>
      </w:r>
      <w:r>
        <w:rPr>
          <w:rFonts w:hint="eastAsia" w:ascii="方正仿宋_GBK" w:hAnsi="方正仿宋_GBK" w:eastAsia="方正仿宋_GBK" w:cs="方正仿宋_GBK"/>
          <w:color w:val="auto"/>
          <w:sz w:val="28"/>
          <w:szCs w:val="28"/>
          <w:lang w:eastAsia="zh-CN"/>
        </w:rPr>
        <w:t>被保险人</w:t>
      </w:r>
      <w:r>
        <w:rPr>
          <w:rFonts w:hint="eastAsia" w:ascii="方正仿宋_GBK" w:hAnsi="方正仿宋_GBK" w:eastAsia="方正仿宋_GBK" w:cs="方正仿宋_GBK"/>
          <w:color w:val="auto"/>
          <w:sz w:val="28"/>
          <w:szCs w:val="28"/>
        </w:rPr>
        <w:t>或者其医务人员在从事与其资格相符的诊疗活动中存在过错但没有造成患者人身损害的情况，赔偿金额（不含法律费用）在人民币1万元</w:t>
      </w:r>
      <w:r>
        <w:rPr>
          <w:rFonts w:hint="eastAsia" w:ascii="方正仿宋_GBK" w:hAnsi="方正仿宋_GBK" w:eastAsia="方正仿宋_GBK" w:cs="方正仿宋_GBK"/>
          <w:color w:val="auto"/>
          <w:sz w:val="28"/>
          <w:szCs w:val="28"/>
          <w:lang w:val="en-US" w:eastAsia="zh-CN"/>
        </w:rPr>
        <w:t>内</w:t>
      </w:r>
      <w:r>
        <w:rPr>
          <w:rFonts w:hint="eastAsia" w:ascii="方正仿宋_GBK" w:hAnsi="方正仿宋_GBK" w:eastAsia="方正仿宋_GBK" w:cs="方正仿宋_GBK"/>
          <w:color w:val="auto"/>
          <w:sz w:val="28"/>
          <w:szCs w:val="28"/>
        </w:rPr>
        <w:t>（含1万元）的医疗纠纷案件，</w:t>
      </w:r>
      <w:r>
        <w:rPr>
          <w:rFonts w:hint="eastAsia" w:ascii="方正仿宋_GBK" w:hAnsi="方正仿宋_GBK" w:eastAsia="方正仿宋_GBK" w:cs="方正仿宋_GBK"/>
          <w:color w:val="auto"/>
          <w:sz w:val="28"/>
          <w:szCs w:val="28"/>
          <w:lang w:eastAsia="zh-CN"/>
        </w:rPr>
        <w:t>被保险人</w:t>
      </w:r>
      <w:r>
        <w:rPr>
          <w:rFonts w:hint="eastAsia" w:ascii="方正仿宋_GBK" w:hAnsi="方正仿宋_GBK" w:eastAsia="方正仿宋_GBK" w:cs="方正仿宋_GBK"/>
          <w:color w:val="auto"/>
          <w:sz w:val="28"/>
          <w:szCs w:val="28"/>
        </w:rPr>
        <w:t>完全有权自主处理与患方达成赔偿协议，</w:t>
      </w:r>
      <w:r>
        <w:rPr>
          <w:rFonts w:hint="eastAsia" w:ascii="方正仿宋_GBK" w:hAnsi="方正仿宋_GBK" w:eastAsia="方正仿宋_GBK" w:cs="方正仿宋_GBK"/>
          <w:color w:val="auto"/>
          <w:sz w:val="28"/>
          <w:szCs w:val="28"/>
          <w:lang w:eastAsia="zh-CN"/>
        </w:rPr>
        <w:t>被保险人</w:t>
      </w:r>
      <w:r>
        <w:rPr>
          <w:rFonts w:hint="eastAsia" w:ascii="方正仿宋_GBK" w:hAnsi="方正仿宋_GBK" w:eastAsia="方正仿宋_GBK" w:cs="方正仿宋_GBK"/>
          <w:color w:val="auto"/>
          <w:sz w:val="28"/>
          <w:szCs w:val="28"/>
        </w:rPr>
        <w:t>与患方达成赔偿协议后，</w:t>
      </w:r>
      <w:r>
        <w:rPr>
          <w:rFonts w:hint="eastAsia" w:ascii="方正仿宋_GBK" w:hAnsi="方正仿宋_GBK" w:eastAsia="方正仿宋_GBK" w:cs="方正仿宋_GBK"/>
          <w:color w:val="auto"/>
          <w:sz w:val="28"/>
          <w:szCs w:val="28"/>
          <w:lang w:eastAsia="zh-CN"/>
        </w:rPr>
        <w:t>供应商</w:t>
      </w:r>
      <w:r>
        <w:rPr>
          <w:rFonts w:hint="eastAsia" w:ascii="方正仿宋_GBK" w:hAnsi="方正仿宋_GBK" w:eastAsia="方正仿宋_GBK" w:cs="方正仿宋_GBK"/>
          <w:color w:val="auto"/>
          <w:sz w:val="28"/>
          <w:szCs w:val="28"/>
        </w:rPr>
        <w:t>应根据此赔偿协议进行保险赔付。每个保险年度</w:t>
      </w:r>
      <w:r>
        <w:rPr>
          <w:rFonts w:hint="eastAsia" w:ascii="方正仿宋_GBK" w:hAnsi="方正仿宋_GBK" w:eastAsia="方正仿宋_GBK" w:cs="方正仿宋_GBK"/>
          <w:color w:val="auto"/>
          <w:sz w:val="28"/>
          <w:szCs w:val="28"/>
          <w:lang w:eastAsia="zh-CN"/>
        </w:rPr>
        <w:t>被保险人</w:t>
      </w:r>
      <w:r>
        <w:rPr>
          <w:rFonts w:hint="eastAsia" w:ascii="方正仿宋_GBK" w:hAnsi="方正仿宋_GBK" w:eastAsia="方正仿宋_GBK" w:cs="方正仿宋_GBK"/>
          <w:color w:val="auto"/>
          <w:sz w:val="28"/>
          <w:szCs w:val="28"/>
        </w:rPr>
        <w:t>通过自主处理此类案件的赔偿金额（不含法律费用）累计</w:t>
      </w:r>
      <w:r>
        <w:rPr>
          <w:rFonts w:hint="eastAsia" w:ascii="方正仿宋_GBK" w:hAnsi="方正仿宋_GBK" w:eastAsia="方正仿宋_GBK" w:cs="方正仿宋_GBK"/>
          <w:color w:val="auto"/>
          <w:sz w:val="28"/>
          <w:szCs w:val="28"/>
          <w:lang w:val="en-US" w:eastAsia="zh-CN"/>
        </w:rPr>
        <w:t>占比</w:t>
      </w:r>
      <w:r>
        <w:rPr>
          <w:rFonts w:hint="eastAsia" w:ascii="方正仿宋_GBK" w:hAnsi="方正仿宋_GBK" w:eastAsia="方正仿宋_GBK" w:cs="方正仿宋_GBK"/>
          <w:color w:val="auto"/>
          <w:sz w:val="28"/>
          <w:szCs w:val="28"/>
          <w:highlight w:val="none"/>
          <w:lang w:val="en-US" w:eastAsia="zh-CN"/>
        </w:rPr>
        <w:t>率不低于</w:t>
      </w:r>
      <w:r>
        <w:rPr>
          <w:rFonts w:hint="eastAsia" w:ascii="方正仿宋_GBK" w:hAnsi="方正仿宋_GBK" w:eastAsia="方正仿宋_GBK" w:cs="方正仿宋_GBK"/>
          <w:color w:val="auto"/>
          <w:sz w:val="28"/>
          <w:szCs w:val="28"/>
          <w:lang w:val="en-US" w:eastAsia="zh-CN"/>
        </w:rPr>
        <w:t>当年保险费的</w:t>
      </w:r>
      <w:r>
        <w:rPr>
          <w:rFonts w:hint="eastAsia" w:ascii="方正仿宋_GBK" w:hAnsi="方正仿宋_GBK" w:eastAsia="方正仿宋_GBK" w:cs="方正仿宋_GBK"/>
          <w:color w:val="auto"/>
          <w:sz w:val="28"/>
          <w:szCs w:val="28"/>
        </w:rPr>
        <w:t>10％，自主处理次数不限。</w:t>
      </w:r>
    </w:p>
    <w:p w14:paraId="46FD3D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微软雅黑" w:hAnsi="微软雅黑" w:eastAsia="微软雅黑" w:cs="微软雅黑"/>
          <w:color w:val="auto"/>
          <w:kern w:val="2"/>
          <w:sz w:val="28"/>
          <w:szCs w:val="28"/>
          <w:lang w:val="en-US" w:eastAsia="zh-CN" w:bidi="ar-SA"/>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在保险期限内发生的保险事故结案后，患方如因同一事故再次提起赔偿请求（包含但不限于请求赔偿后续治疗费、后续护理费等），经法院判决或者仲裁裁决确定应由</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继续承担的医疗损害赔偿费用以及因患方再次提起赔偿请求而产生的应由</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承担的法律费用，</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亦应负责赔偿。</w:t>
      </w:r>
    </w:p>
    <w:p w14:paraId="132D5C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（3）本项目医疗责任</w:t>
      </w:r>
      <w:r>
        <w:rPr>
          <w:rFonts w:hint="eastAsia" w:ascii="方正仿宋_GBK" w:hAnsi="方正仿宋_GBK" w:eastAsia="方正仿宋_GBK" w:cs="方正仿宋_GBK"/>
          <w:color w:val="auto"/>
          <w:sz w:val="28"/>
          <w:szCs w:val="28"/>
          <w:highlight w:val="none"/>
        </w:rPr>
        <w:t>保险采用医务人员不记名的方式投保，</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的投保医务人员数达到实际应投保医务人员数的90％以上（含90％）属于足额投保，低于90％的属不足额投保，当</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的实际医务人员数变更(包括增加或减少超过投保医务人员数的10%时)，</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应及时向</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申报变更后的医务人员数，</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根据实际增加或减少的医务人员数以及保险期间的剩余期限增加或退还相应的保险费。</w:t>
      </w:r>
    </w:p>
    <w:p w14:paraId="034ABF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微软雅黑" w:hAnsi="微软雅黑" w:eastAsia="微软雅黑" w:cs="微软雅黑"/>
          <w:color w:val="auto"/>
          <w:kern w:val="2"/>
          <w:sz w:val="28"/>
          <w:szCs w:val="28"/>
          <w:lang w:val="en-US" w:eastAsia="zh-CN" w:bidi="ar-SA"/>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在保险单中列明的</w:t>
      </w:r>
      <w:r>
        <w:rPr>
          <w:rFonts w:hint="eastAsia" w:ascii="方正仿宋_GBK" w:hAnsi="方正仿宋_GBK" w:eastAsia="方正仿宋_GBK" w:cs="方正仿宋_GBK"/>
          <w:sz w:val="28"/>
          <w:szCs w:val="28"/>
        </w:rPr>
        <w:t>保险期间</w:t>
      </w:r>
      <w:r>
        <w:rPr>
          <w:rFonts w:hint="eastAsia" w:ascii="方正仿宋_GBK" w:hAnsi="方正仿宋_GBK" w:eastAsia="方正仿宋_GBK" w:cs="方正仿宋_GBK"/>
          <w:sz w:val="28"/>
          <w:szCs w:val="28"/>
          <w:lang w:eastAsia="zh-CN"/>
        </w:rPr>
        <w:t>或</w:t>
      </w:r>
      <w:r>
        <w:rPr>
          <w:rFonts w:hint="eastAsia" w:ascii="方正仿宋_GBK" w:hAnsi="方正仿宋_GBK" w:eastAsia="方正仿宋_GBK" w:cs="方正仿宋_GBK"/>
          <w:sz w:val="28"/>
          <w:szCs w:val="28"/>
        </w:rPr>
        <w:t>追溯期</w:t>
      </w:r>
      <w:r>
        <w:rPr>
          <w:rFonts w:hint="eastAsia" w:ascii="方正仿宋_GBK" w:hAnsi="方正仿宋_GBK" w:eastAsia="方正仿宋_GBK" w:cs="方正仿宋_GBK"/>
          <w:color w:val="auto"/>
          <w:sz w:val="28"/>
          <w:szCs w:val="28"/>
          <w:highlight w:val="none"/>
        </w:rPr>
        <w:t>内，在</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处进行实习的医学生和试用期医学毕业生，经临床带教教师或者指导医师同意并按照临床带教教师或者指导医师的要求在从事诊疗活动过程中造成患者</w:t>
      </w:r>
      <w:r>
        <w:rPr>
          <w:rFonts w:hint="eastAsia" w:ascii="方正仿宋_GBK" w:hAnsi="方正仿宋_GBK" w:eastAsia="方正仿宋_GBK" w:cs="方正仿宋_GBK"/>
          <w:color w:val="auto"/>
          <w:sz w:val="28"/>
          <w:szCs w:val="28"/>
          <w:highlight w:val="none"/>
          <w:lang w:eastAsia="zh-CN"/>
        </w:rPr>
        <w:t>人身</w:t>
      </w:r>
      <w:r>
        <w:rPr>
          <w:rFonts w:hint="eastAsia" w:ascii="方正仿宋_GBK" w:hAnsi="方正仿宋_GBK" w:eastAsia="方正仿宋_GBK" w:cs="方正仿宋_GBK"/>
          <w:color w:val="auto"/>
          <w:sz w:val="28"/>
          <w:szCs w:val="28"/>
          <w:highlight w:val="none"/>
        </w:rPr>
        <w:t>损害的，患者或者其近亲属或者其代理人在保险期间内首次向</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提出损害赔偿请求，依照中华人民共和国法律应由</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承担经济赔偿责任的，</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按照</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约定负责赔偿。</w:t>
      </w:r>
    </w:p>
    <w:p w14:paraId="17841C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微软雅黑" w:hAnsi="微软雅黑" w:eastAsia="微软雅黑" w:cs="微软雅黑"/>
          <w:color w:val="auto"/>
          <w:kern w:val="2"/>
          <w:sz w:val="28"/>
          <w:szCs w:val="28"/>
          <w:lang w:val="en-US" w:eastAsia="zh-CN" w:bidi="ar-SA"/>
        </w:rPr>
        <w:t>▲</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在保险单中列明的</w:t>
      </w:r>
      <w:r>
        <w:rPr>
          <w:rFonts w:hint="eastAsia" w:ascii="方正仿宋_GBK" w:hAnsi="方正仿宋_GBK" w:eastAsia="方正仿宋_GBK" w:cs="方正仿宋_GBK"/>
          <w:sz w:val="28"/>
          <w:szCs w:val="28"/>
        </w:rPr>
        <w:t>保险期间</w:t>
      </w:r>
      <w:r>
        <w:rPr>
          <w:rFonts w:hint="eastAsia" w:ascii="方正仿宋_GBK" w:hAnsi="方正仿宋_GBK" w:eastAsia="方正仿宋_GBK" w:cs="方正仿宋_GBK"/>
          <w:sz w:val="28"/>
          <w:szCs w:val="28"/>
          <w:lang w:eastAsia="zh-CN"/>
        </w:rPr>
        <w:t>或</w:t>
      </w:r>
      <w:r>
        <w:rPr>
          <w:rFonts w:hint="eastAsia" w:ascii="方正仿宋_GBK" w:hAnsi="方正仿宋_GBK" w:eastAsia="方正仿宋_GBK" w:cs="方正仿宋_GBK"/>
          <w:sz w:val="28"/>
          <w:szCs w:val="28"/>
        </w:rPr>
        <w:t>追溯期</w:t>
      </w:r>
      <w:r>
        <w:rPr>
          <w:rFonts w:hint="eastAsia" w:ascii="方正仿宋_GBK" w:hAnsi="方正仿宋_GBK" w:eastAsia="方正仿宋_GBK" w:cs="方正仿宋_GBK"/>
          <w:color w:val="auto"/>
          <w:sz w:val="28"/>
          <w:szCs w:val="28"/>
          <w:highlight w:val="none"/>
        </w:rPr>
        <w:t>内，在</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处进修的医务人员，经指导医师同意并按照指导医师的要求从事诊疗活动过程中造成患者人身损害的，患者或者其近亲属或者其代理人在保险期间内首次向</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提出损害赔偿请求，依照中华人民共和国法律应由</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承担的经济赔偿责任，</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按照</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约定负责赔偿。</w:t>
      </w:r>
    </w:p>
    <w:p w14:paraId="23445B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微软雅黑" w:hAnsi="微软雅黑" w:eastAsia="微软雅黑" w:cs="微软雅黑"/>
          <w:color w:val="auto"/>
          <w:kern w:val="2"/>
          <w:sz w:val="28"/>
          <w:szCs w:val="28"/>
          <w:lang w:val="en-US" w:eastAsia="zh-CN" w:bidi="ar-SA"/>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lang w:val="en-US" w:eastAsia="zh-CN"/>
        </w:rPr>
        <w:t>应</w:t>
      </w:r>
      <w:r>
        <w:rPr>
          <w:rFonts w:hint="eastAsia" w:ascii="方正仿宋_GBK" w:hAnsi="方正仿宋_GBK" w:eastAsia="方正仿宋_GBK" w:cs="方正仿宋_GBK"/>
          <w:color w:val="auto"/>
          <w:sz w:val="28"/>
          <w:szCs w:val="28"/>
          <w:highlight w:val="none"/>
        </w:rPr>
        <w:t>同意将</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根据外聘合同聘用以及根据卫生行政部门制定的帮扶政策聘用的外聘医务人员</w:t>
      </w:r>
      <w:r>
        <w:rPr>
          <w:rFonts w:hint="eastAsia" w:ascii="方正仿宋_GBK" w:hAnsi="方正仿宋_GBK" w:eastAsia="方正仿宋_GBK" w:cs="方正仿宋_GBK"/>
          <w:color w:val="auto"/>
          <w:sz w:val="28"/>
          <w:szCs w:val="28"/>
          <w:highlight w:val="none"/>
          <w:lang w:eastAsia="zh-CN"/>
        </w:rPr>
        <w:t>或</w:t>
      </w:r>
      <w:r>
        <w:rPr>
          <w:rFonts w:hint="eastAsia" w:ascii="方正仿宋_GBK" w:hAnsi="方正仿宋_GBK" w:eastAsia="方正仿宋_GBK" w:cs="方正仿宋_GBK"/>
          <w:color w:val="auto"/>
          <w:sz w:val="28"/>
          <w:szCs w:val="28"/>
          <w:highlight w:val="none"/>
        </w:rPr>
        <w:t>正常会诊的非本医疗机构的医务人员视为</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的医务人员。</w:t>
      </w:r>
    </w:p>
    <w:p w14:paraId="145359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微软雅黑" w:hAnsi="微软雅黑" w:eastAsia="微软雅黑" w:cs="微软雅黑"/>
          <w:color w:val="auto"/>
          <w:kern w:val="2"/>
          <w:sz w:val="28"/>
          <w:szCs w:val="28"/>
          <w:lang w:val="en-US" w:eastAsia="zh-CN" w:bidi="ar-SA"/>
        </w:rPr>
        <w:t>▲</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在保险单中列明的</w:t>
      </w:r>
      <w:r>
        <w:rPr>
          <w:rFonts w:hint="eastAsia" w:ascii="方正仿宋_GBK" w:hAnsi="方正仿宋_GBK" w:eastAsia="方正仿宋_GBK" w:cs="方正仿宋_GBK"/>
          <w:sz w:val="28"/>
          <w:szCs w:val="28"/>
        </w:rPr>
        <w:t>保险期间</w:t>
      </w:r>
      <w:r>
        <w:rPr>
          <w:rFonts w:hint="eastAsia" w:ascii="方正仿宋_GBK" w:hAnsi="方正仿宋_GBK" w:eastAsia="方正仿宋_GBK" w:cs="方正仿宋_GBK"/>
          <w:sz w:val="28"/>
          <w:szCs w:val="28"/>
          <w:lang w:eastAsia="zh-CN"/>
        </w:rPr>
        <w:t>或</w:t>
      </w:r>
      <w:r>
        <w:rPr>
          <w:rFonts w:hint="eastAsia" w:ascii="方正仿宋_GBK" w:hAnsi="方正仿宋_GBK" w:eastAsia="方正仿宋_GBK" w:cs="方正仿宋_GBK"/>
          <w:sz w:val="28"/>
          <w:szCs w:val="28"/>
        </w:rPr>
        <w:t>追溯期</w:t>
      </w:r>
      <w:r>
        <w:rPr>
          <w:rFonts w:hint="eastAsia" w:ascii="方正仿宋_GBK" w:hAnsi="方正仿宋_GBK" w:eastAsia="方正仿宋_GBK" w:cs="方正仿宋_GBK"/>
          <w:color w:val="auto"/>
          <w:sz w:val="28"/>
          <w:szCs w:val="28"/>
          <w:highlight w:val="none"/>
        </w:rPr>
        <w:t>内，按照</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轮岗管理制度要求的医务人员，在轮岗期间从事诊疗活动过程中造成患者人身损害的，患者或者其近亲属或者其代理人在保险期间内首次向</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提出损害赔偿请求，依照中华人民共和国法律应由</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承担的经济赔偿责任，</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按照</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约定负责赔偿。</w:t>
      </w:r>
    </w:p>
    <w:p w14:paraId="660E25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微软雅黑" w:hAnsi="微软雅黑" w:eastAsia="微软雅黑" w:cs="微软雅黑"/>
          <w:color w:val="auto"/>
          <w:kern w:val="2"/>
          <w:sz w:val="28"/>
          <w:szCs w:val="28"/>
          <w:lang w:val="en-US" w:eastAsia="zh-CN" w:bidi="ar-SA"/>
        </w:rPr>
        <w:t>▲</w:t>
      </w:r>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聘用的医务人员，在注册或变更注册期间从事诊疗活动发生的保险事故，属于保险责任范围。</w:t>
      </w:r>
    </w:p>
    <w:p w14:paraId="2B303B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因医疗纠纷处理（包含自行和解和人民调解）过程中，为了查明医疗纠纷原因和损失产生的鉴定费以及其他必要的、合理的费用，</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按</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约定的法律费用限额内负责赔偿。医疗纠纷是指医患双方因诊疗活动引发的争议。</w:t>
      </w:r>
    </w:p>
    <w:p w14:paraId="701F4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约定的医患纠纷人民调解委员会指依法设立的人民调解委员。</w:t>
      </w:r>
    </w:p>
    <w:p w14:paraId="027951E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（11）</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所称的“诊疗活动”，也包括在</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中列明的</w:t>
      </w:r>
      <w:r>
        <w:rPr>
          <w:rFonts w:hint="eastAsia" w:ascii="方正仿宋_GBK" w:hAnsi="方正仿宋_GBK" w:eastAsia="方正仿宋_GBK" w:cs="方正仿宋_GBK"/>
          <w:sz w:val="28"/>
          <w:szCs w:val="28"/>
        </w:rPr>
        <w:t>保险期间</w:t>
      </w:r>
      <w:r>
        <w:rPr>
          <w:rFonts w:hint="eastAsia" w:ascii="方正仿宋_GBK" w:hAnsi="方正仿宋_GBK" w:eastAsia="方正仿宋_GBK" w:cs="方正仿宋_GBK"/>
          <w:sz w:val="28"/>
          <w:szCs w:val="28"/>
          <w:lang w:eastAsia="zh-CN"/>
        </w:rPr>
        <w:t>或</w:t>
      </w:r>
      <w:r>
        <w:rPr>
          <w:rFonts w:hint="eastAsia" w:ascii="方正仿宋_GBK" w:hAnsi="方正仿宋_GBK" w:eastAsia="方正仿宋_GBK" w:cs="方正仿宋_GBK"/>
          <w:sz w:val="28"/>
          <w:szCs w:val="28"/>
        </w:rPr>
        <w:t>追溯期</w:t>
      </w:r>
      <w:r>
        <w:rPr>
          <w:rFonts w:hint="eastAsia" w:ascii="方正仿宋_GBK" w:hAnsi="方正仿宋_GBK" w:eastAsia="方正仿宋_GBK" w:cs="方正仿宋_GBK"/>
          <w:color w:val="auto"/>
          <w:sz w:val="28"/>
          <w:szCs w:val="28"/>
          <w:highlight w:val="none"/>
        </w:rPr>
        <w:t>内，</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或者其医务人员在</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自营平台从事与其资格相符的互联网诊疗活动中造成患者人身损害，患者或者其近亲属或者其代理人在保险期间内首次向</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提出损害赔偿请求，依照中华人民共和国法律（不包括港、澳、台地区法律）应由</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承担经济赔偿责任，</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按照</w:t>
      </w:r>
      <w:r>
        <w:rPr>
          <w:rFonts w:hint="eastAsia" w:ascii="方正仿宋_GBK" w:hAnsi="方正仿宋_GBK" w:eastAsia="方正仿宋_GBK" w:cs="方正仿宋_GBK"/>
          <w:color w:val="auto"/>
          <w:sz w:val="28"/>
          <w:szCs w:val="28"/>
          <w:highlight w:val="none"/>
          <w:lang w:eastAsia="zh-CN"/>
        </w:rPr>
        <w:t>保险合同</w:t>
      </w:r>
      <w:r>
        <w:rPr>
          <w:rFonts w:hint="eastAsia" w:ascii="方正仿宋_GBK" w:hAnsi="方正仿宋_GBK" w:eastAsia="方正仿宋_GBK" w:cs="方正仿宋_GBK"/>
          <w:color w:val="auto"/>
          <w:sz w:val="28"/>
          <w:szCs w:val="28"/>
          <w:highlight w:val="none"/>
        </w:rPr>
        <w:t>约定负责赔偿。</w:t>
      </w:r>
    </w:p>
    <w:p w14:paraId="3377B6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确定患方首次向</w:t>
      </w:r>
      <w:r>
        <w:rPr>
          <w:rFonts w:hint="eastAsia" w:ascii="方正仿宋_GBK" w:hAnsi="方正仿宋_GBK" w:eastAsia="方正仿宋_GBK" w:cs="方正仿宋_GBK"/>
          <w:color w:val="auto"/>
          <w:sz w:val="28"/>
          <w:szCs w:val="28"/>
          <w:highlight w:val="none"/>
          <w:lang w:eastAsia="zh-CN"/>
        </w:rPr>
        <w:t>被保险人</w:t>
      </w:r>
      <w:r>
        <w:rPr>
          <w:rFonts w:hint="eastAsia" w:ascii="方正仿宋_GBK" w:hAnsi="方正仿宋_GBK" w:eastAsia="方正仿宋_GBK" w:cs="方正仿宋_GBK"/>
          <w:color w:val="auto"/>
          <w:sz w:val="28"/>
          <w:szCs w:val="28"/>
          <w:highlight w:val="none"/>
        </w:rPr>
        <w:t>提出损害赔偿请求的时间规则：</w:t>
      </w:r>
    </w:p>
    <w:p w14:paraId="493DBE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①</w:t>
      </w:r>
      <w:r>
        <w:rPr>
          <w:rFonts w:hint="eastAsia" w:ascii="方正仿宋_GBK" w:hAnsi="方正仿宋_GBK" w:eastAsia="方正仿宋_GBK" w:cs="方正仿宋_GBK"/>
          <w:color w:val="auto"/>
          <w:sz w:val="28"/>
          <w:szCs w:val="28"/>
          <w:highlight w:val="none"/>
        </w:rPr>
        <w:t>患者接受诊疗活动导致人身损害的时间，患</w:t>
      </w:r>
      <w:r>
        <w:rPr>
          <w:rFonts w:hint="eastAsia" w:ascii="方正仿宋_GBK" w:hAnsi="方正仿宋_GBK" w:eastAsia="方正仿宋_GBK" w:cs="方正仿宋_GBK"/>
          <w:color w:val="auto"/>
          <w:sz w:val="28"/>
          <w:szCs w:val="28"/>
          <w:highlight w:val="none"/>
          <w:lang w:eastAsia="zh-CN"/>
        </w:rPr>
        <w:t>者</w:t>
      </w:r>
      <w:r>
        <w:rPr>
          <w:rFonts w:hint="eastAsia" w:ascii="方正仿宋_GBK" w:hAnsi="方正仿宋_GBK" w:eastAsia="方正仿宋_GBK" w:cs="方正仿宋_GBK"/>
          <w:color w:val="auto"/>
          <w:sz w:val="28"/>
          <w:szCs w:val="28"/>
          <w:highlight w:val="none"/>
        </w:rPr>
        <w:t>首次投诉时间和医疗机构报案时间在同一保险期间内的案件，以医疗机构报案时填写的时间为准。</w:t>
      </w:r>
    </w:p>
    <w:p w14:paraId="370E218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②</w:t>
      </w:r>
      <w:r>
        <w:rPr>
          <w:rFonts w:hint="eastAsia" w:ascii="方正仿宋_GBK" w:hAnsi="方正仿宋_GBK" w:eastAsia="方正仿宋_GBK" w:cs="方正仿宋_GBK"/>
          <w:color w:val="auto"/>
          <w:sz w:val="28"/>
          <w:szCs w:val="28"/>
          <w:highlight w:val="none"/>
        </w:rPr>
        <w:t>患者接受诊疗活动导致人身损害的时间、患方首次投诉时间和医疗机构报案时间不在同一保险期内的案件，以下述材料记载</w:t>
      </w:r>
      <w:r>
        <w:rPr>
          <w:rFonts w:hint="eastAsia" w:ascii="方正仿宋_GBK" w:hAnsi="方正仿宋_GBK" w:eastAsia="方正仿宋_GBK" w:cs="方正仿宋_GBK"/>
          <w:color w:val="auto"/>
          <w:sz w:val="28"/>
          <w:szCs w:val="28"/>
          <w:highlight w:val="none"/>
          <w:lang w:eastAsia="zh-CN"/>
        </w:rPr>
        <w:t>时间</w:t>
      </w:r>
      <w:r>
        <w:rPr>
          <w:rFonts w:hint="eastAsia" w:ascii="方正仿宋_GBK" w:hAnsi="方正仿宋_GBK" w:eastAsia="方正仿宋_GBK" w:cs="方正仿宋_GBK"/>
          <w:color w:val="auto"/>
          <w:sz w:val="28"/>
          <w:szCs w:val="28"/>
          <w:highlight w:val="none"/>
        </w:rPr>
        <w:t>最早的日期为准：患方向医疗机构或者行政部门书面投诉材料日期（患方或患方代理人签字）、司法鉴定（含尸检和医疗事故鉴定）的申请日期、人民调解申请日期、法院传票通知日期等与纠纷相关书面材料。</w:t>
      </w:r>
    </w:p>
    <w:p w14:paraId="3D45FDA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方正仿宋_GBK" w:hAnsi="方正仿宋_GBK" w:eastAsia="方正仿宋_GBK" w:cs="方正仿宋_GBK"/>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ODZiMWJkYWExMGQ0YWVjYzI4M2JiMTM3OWViMDYifQ=="/>
  </w:docVars>
  <w:rsids>
    <w:rsidRoot w:val="00000000"/>
    <w:rsid w:val="2B54799F"/>
    <w:rsid w:val="33897B6E"/>
    <w:rsid w:val="51F63E0F"/>
    <w:rsid w:val="74E12EE6"/>
    <w:rsid w:val="77BF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Body Text Indent 3"/>
    <w:basedOn w:val="1"/>
    <w:qFormat/>
    <w:uiPriority w:val="0"/>
    <w:pPr>
      <w:spacing w:after="120"/>
      <w:ind w:left="420" w:leftChars="200"/>
    </w:pPr>
    <w:rPr>
      <w:sz w:val="16"/>
      <w:szCs w:val="16"/>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3"/>
    <w:basedOn w:val="1"/>
    <w:next w:val="3"/>
    <w:qFormat/>
    <w:uiPriority w:val="0"/>
    <w:pPr>
      <w:autoSpaceDE w:val="0"/>
      <w:autoSpaceDN w:val="0"/>
      <w:adjustRightInd w:val="0"/>
      <w:spacing w:line="480" w:lineRule="exact"/>
      <w:ind w:firstLine="560"/>
      <w:jc w:val="left"/>
    </w:pPr>
    <w:rPr>
      <w:rFonts w:ascii="宋体" w:hAnsi="宋体"/>
      <w:color w:val="000000"/>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3884</Words>
  <Characters>3971</Characters>
  <Lines>0</Lines>
  <Paragraphs>0</Paragraphs>
  <TotalTime>3</TotalTime>
  <ScaleCrop>false</ScaleCrop>
  <LinksUpToDate>false</LinksUpToDate>
  <CharactersWithSpaces>3986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Administrator.USER-20200813YH</dc:creator>
  <cp:lastModifiedBy>许攸宁</cp:lastModifiedBy>
  <cp:lastPrinted>2024-09-12T08:04:00Z</cp:lastPrinted>
  <dcterms:modified xsi:type="dcterms:W3CDTF">2024-09-13T07:59:38Z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E5FB7419F82847A2B6437FB5767BC0BD_12</vt:lpwstr>
  </property>
</Properties>
</file>