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50A54">
      <w:pPr>
        <w:pStyle w:val="6"/>
        <w:keepNext w:val="0"/>
        <w:keepLines w:val="0"/>
        <w:pageBreakBefore w:val="0"/>
        <w:widowControl/>
        <w:shd w:val="clear" w:color="auto"/>
        <w:kinsoku/>
        <w:wordWrap/>
        <w:overflowPunct/>
        <w:topLinePunct w:val="0"/>
        <w:autoSpaceDE w:val="0"/>
        <w:autoSpaceDN w:val="0"/>
        <w:bidi w:val="0"/>
        <w:adjustRightInd/>
        <w:snapToGrid/>
        <w:spacing w:before="0" w:beforeAutospacing="0" w:after="0" w:afterAutospacing="0" w:line="360" w:lineRule="auto"/>
        <w:ind w:firstLine="0"/>
        <w:jc w:val="left"/>
        <w:textAlignment w:val="auto"/>
        <w:outlineLvl w:val="0"/>
        <w:rPr>
          <w:rFonts w:hint="eastAsia" w:ascii="宋体" w:hAnsi="宋体" w:eastAsia="宋体" w:cs="宋体"/>
          <w:b w:val="0"/>
          <w:bCs w:val="0"/>
          <w:color w:val="333333"/>
          <w:sz w:val="28"/>
          <w:szCs w:val="28"/>
          <w:lang w:val="en-US" w:eastAsia="zh-CN"/>
        </w:rPr>
      </w:pPr>
      <w:bookmarkStart w:id="0" w:name="_bookmark0"/>
      <w:bookmarkEnd w:id="0"/>
      <w:r>
        <w:rPr>
          <w:rFonts w:hint="eastAsia" w:ascii="宋体" w:hAnsi="宋体" w:eastAsia="宋体" w:cs="宋体"/>
          <w:b w:val="0"/>
          <w:bCs w:val="0"/>
          <w:color w:val="333333"/>
          <w:sz w:val="28"/>
          <w:szCs w:val="28"/>
          <w:lang w:val="en-US" w:eastAsia="zh-CN"/>
        </w:rPr>
        <w:t>附件5：</w:t>
      </w:r>
    </w:p>
    <w:p w14:paraId="1395F4AA">
      <w:pPr>
        <w:keepNext w:val="0"/>
        <w:keepLines w:val="0"/>
        <w:pageBreakBefore w:val="0"/>
        <w:widowControl w:val="0"/>
        <w:numPr>
          <w:ilvl w:val="0"/>
          <w:numId w:val="0"/>
        </w:numPr>
        <w:shd w:val="clear"/>
        <w:kinsoku/>
        <w:wordWrap/>
        <w:overflowPunct/>
        <w:topLinePunct w:val="0"/>
        <w:autoSpaceDE/>
        <w:autoSpaceDN/>
        <w:bidi w:val="0"/>
        <w:adjustRightInd/>
        <w:snapToGrid/>
        <w:spacing w:after="156" w:afterLines="50"/>
        <w:jc w:val="center"/>
        <w:textAlignment w:val="auto"/>
        <w:rPr>
          <w:rFonts w:hint="eastAsia" w:ascii="方正小标宋_GBK" w:hAnsi="方正小标宋_GBK" w:eastAsia="方正小标宋_GBK" w:cs="方正小标宋_GBK"/>
          <w:b w:val="0"/>
          <w:bCs w:val="0"/>
          <w:sz w:val="44"/>
          <w:szCs w:val="44"/>
        </w:rPr>
      </w:pPr>
      <w:bookmarkStart w:id="1" w:name="_GoBack"/>
      <w:bookmarkEnd w:id="1"/>
      <w:r>
        <w:rPr>
          <w:rFonts w:hint="eastAsia" w:ascii="方正小标宋_GBK" w:hAnsi="方正小标宋_GBK" w:eastAsia="方正小标宋_GBK" w:cs="方正小标宋_GBK"/>
          <w:b w:val="0"/>
          <w:bCs w:val="0"/>
          <w:sz w:val="44"/>
          <w:szCs w:val="44"/>
        </w:rPr>
        <w:t>惠州市中医医院电子票据管理系统</w:t>
      </w:r>
    </w:p>
    <w:p w14:paraId="6CA54A19">
      <w:pPr>
        <w:keepNext w:val="0"/>
        <w:keepLines w:val="0"/>
        <w:pageBreakBefore w:val="0"/>
        <w:widowControl w:val="0"/>
        <w:numPr>
          <w:ilvl w:val="0"/>
          <w:numId w:val="0"/>
        </w:numPr>
        <w:shd w:val="clear"/>
        <w:kinsoku/>
        <w:wordWrap/>
        <w:overflowPunct/>
        <w:topLinePunct w:val="0"/>
        <w:autoSpaceDE/>
        <w:autoSpaceDN/>
        <w:bidi w:val="0"/>
        <w:adjustRightInd/>
        <w:snapToGrid/>
        <w:spacing w:after="156" w:afterLines="5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color w:val="333333"/>
          <w:sz w:val="44"/>
          <w:szCs w:val="44"/>
          <w:lang w:val="en-US" w:eastAsia="zh-CN"/>
        </w:rPr>
        <w:t>维保服务内容</w:t>
      </w:r>
    </w:p>
    <w:tbl>
      <w:tblPr>
        <w:tblStyle w:val="10"/>
        <w:tblW w:w="92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2"/>
        <w:gridCol w:w="2222"/>
        <w:gridCol w:w="6106"/>
      </w:tblGrid>
      <w:tr w14:paraId="4F2FC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942" w:type="dxa"/>
            <w:tcBorders>
              <w:tl2br w:val="nil"/>
              <w:tr2bl w:val="nil"/>
            </w:tcBorders>
            <w:noWrap w:val="0"/>
            <w:vAlign w:val="center"/>
          </w:tcPr>
          <w:p w14:paraId="4C953E39">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pacing w:val="7"/>
                <w:sz w:val="21"/>
                <w:szCs w:val="21"/>
              </w:rPr>
              <w:t>序</w:t>
            </w:r>
            <w:r>
              <w:rPr>
                <w:rFonts w:hint="default" w:ascii="Times New Roman" w:hAnsi="Times New Roman" w:eastAsia="宋体" w:cs="Times New Roman"/>
                <w:b/>
                <w:bCs/>
                <w:spacing w:val="6"/>
                <w:sz w:val="21"/>
                <w:szCs w:val="21"/>
              </w:rPr>
              <w:t>号</w:t>
            </w:r>
          </w:p>
        </w:tc>
        <w:tc>
          <w:tcPr>
            <w:tcW w:w="2222" w:type="dxa"/>
            <w:tcBorders>
              <w:tl2br w:val="nil"/>
              <w:tr2bl w:val="nil"/>
            </w:tcBorders>
            <w:noWrap w:val="0"/>
            <w:vAlign w:val="center"/>
          </w:tcPr>
          <w:p w14:paraId="44E326BF">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pacing w:val="8"/>
                <w:sz w:val="21"/>
                <w:szCs w:val="21"/>
              </w:rPr>
              <w:t>内</w:t>
            </w:r>
            <w:r>
              <w:rPr>
                <w:rFonts w:hint="default" w:ascii="Times New Roman" w:hAnsi="Times New Roman" w:eastAsia="宋体" w:cs="Times New Roman"/>
                <w:b/>
                <w:bCs/>
                <w:spacing w:val="7"/>
                <w:sz w:val="21"/>
                <w:szCs w:val="21"/>
              </w:rPr>
              <w:t>容</w:t>
            </w:r>
          </w:p>
        </w:tc>
        <w:tc>
          <w:tcPr>
            <w:tcW w:w="6106" w:type="dxa"/>
            <w:tcBorders>
              <w:tl2br w:val="nil"/>
              <w:tr2bl w:val="nil"/>
            </w:tcBorders>
            <w:noWrap w:val="0"/>
            <w:vAlign w:val="center"/>
          </w:tcPr>
          <w:p w14:paraId="6C67E4AB">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pacing w:val="10"/>
                <w:sz w:val="21"/>
                <w:szCs w:val="21"/>
              </w:rPr>
              <w:t>功</w:t>
            </w:r>
            <w:r>
              <w:rPr>
                <w:rFonts w:hint="default" w:ascii="Times New Roman" w:hAnsi="Times New Roman" w:eastAsia="宋体" w:cs="Times New Roman"/>
                <w:b/>
                <w:bCs/>
                <w:spacing w:val="7"/>
                <w:sz w:val="21"/>
                <w:szCs w:val="21"/>
              </w:rPr>
              <w:t>能/参数</w:t>
            </w:r>
          </w:p>
        </w:tc>
      </w:tr>
      <w:tr w14:paraId="3B055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226223A8">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2222" w:type="dxa"/>
            <w:tcBorders>
              <w:tl2br w:val="nil"/>
              <w:tr2bl w:val="nil"/>
            </w:tcBorders>
            <w:noWrap w:val="0"/>
            <w:vAlign w:val="center"/>
          </w:tcPr>
          <w:p w14:paraId="203BC062">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7"/>
                <w:sz w:val="21"/>
                <w:szCs w:val="21"/>
              </w:rPr>
              <w:t>电子票据</w:t>
            </w:r>
            <w:r>
              <w:rPr>
                <w:rFonts w:hint="default" w:ascii="Times New Roman" w:hAnsi="Times New Roman" w:eastAsia="宋体" w:cs="Times New Roman"/>
                <w:spacing w:val="8"/>
                <w:sz w:val="21"/>
                <w:szCs w:val="21"/>
              </w:rPr>
              <w:t>系统管理</w:t>
            </w:r>
          </w:p>
        </w:tc>
        <w:tc>
          <w:tcPr>
            <w:tcW w:w="6106" w:type="dxa"/>
            <w:tcBorders>
              <w:tl2br w:val="nil"/>
              <w:tr2bl w:val="nil"/>
            </w:tcBorders>
            <w:noWrap w:val="0"/>
            <w:vAlign w:val="center"/>
          </w:tcPr>
          <w:p w14:paraId="1DE1CA5B">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包括系统用户账号、权限、功能</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8"/>
                <w:sz w:val="21"/>
                <w:szCs w:val="21"/>
              </w:rPr>
              <w:t>配</w:t>
            </w:r>
            <w:r>
              <w:rPr>
                <w:rFonts w:hint="default" w:ascii="Times New Roman" w:hAnsi="Times New Roman" w:eastAsia="宋体" w:cs="Times New Roman"/>
                <w:spacing w:val="11"/>
                <w:sz w:val="21"/>
                <w:szCs w:val="21"/>
              </w:rPr>
              <w:t>置</w:t>
            </w:r>
            <w:r>
              <w:rPr>
                <w:rFonts w:hint="default" w:ascii="Times New Roman" w:hAnsi="Times New Roman" w:eastAsia="宋体" w:cs="Times New Roman"/>
                <w:spacing w:val="9"/>
                <w:sz w:val="21"/>
                <w:szCs w:val="21"/>
              </w:rPr>
              <w:t>等维护系统正常运行的相关功能和单位基</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础</w:t>
            </w:r>
            <w:r>
              <w:rPr>
                <w:rFonts w:hint="default" w:ascii="Times New Roman" w:hAnsi="Times New Roman" w:eastAsia="宋体" w:cs="Times New Roman"/>
                <w:spacing w:val="11"/>
                <w:sz w:val="21"/>
                <w:szCs w:val="21"/>
              </w:rPr>
              <w:t>信</w:t>
            </w:r>
            <w:r>
              <w:rPr>
                <w:rFonts w:hint="default" w:ascii="Times New Roman" w:hAnsi="Times New Roman" w:eastAsia="宋体" w:cs="Times New Roman"/>
                <w:spacing w:val="8"/>
                <w:sz w:val="21"/>
                <w:szCs w:val="21"/>
              </w:rPr>
              <w:t>息、开票点信息的维护功能。</w:t>
            </w:r>
          </w:p>
        </w:tc>
      </w:tr>
      <w:tr w14:paraId="38ECD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69249898">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2222" w:type="dxa"/>
            <w:tcBorders>
              <w:tl2br w:val="nil"/>
              <w:tr2bl w:val="nil"/>
            </w:tcBorders>
            <w:noWrap w:val="0"/>
            <w:vAlign w:val="center"/>
          </w:tcPr>
          <w:p w14:paraId="7875C12F">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票据管理</w:t>
            </w:r>
          </w:p>
        </w:tc>
        <w:tc>
          <w:tcPr>
            <w:tcW w:w="6106" w:type="dxa"/>
            <w:tcBorders>
              <w:tl2br w:val="nil"/>
              <w:tr2bl w:val="nil"/>
            </w:tcBorders>
            <w:noWrap w:val="0"/>
            <w:vAlign w:val="center"/>
          </w:tcPr>
          <w:p w14:paraId="057C9329">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除票据开具外的票据全生命周期</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管理，</w:t>
            </w:r>
            <w:r>
              <w:rPr>
                <w:rFonts w:hint="default" w:ascii="Times New Roman" w:hAnsi="Times New Roman" w:eastAsia="宋体" w:cs="Times New Roman"/>
                <w:spacing w:val="4"/>
                <w:sz w:val="21"/>
                <w:szCs w:val="21"/>
              </w:rPr>
              <w:t>包括电子票据申领、申退、核销等业务管</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理。</w:t>
            </w:r>
          </w:p>
        </w:tc>
      </w:tr>
      <w:tr w14:paraId="5E9AE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0DEC14B9">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2222" w:type="dxa"/>
            <w:tcBorders>
              <w:tl2br w:val="nil"/>
              <w:tr2bl w:val="nil"/>
            </w:tcBorders>
            <w:noWrap w:val="0"/>
            <w:vAlign w:val="center"/>
          </w:tcPr>
          <w:p w14:paraId="045E6DAD">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4"/>
                <w:sz w:val="21"/>
                <w:szCs w:val="21"/>
              </w:rPr>
              <w:t>票据开具</w:t>
            </w:r>
          </w:p>
        </w:tc>
        <w:tc>
          <w:tcPr>
            <w:tcW w:w="6106" w:type="dxa"/>
            <w:tcBorders>
              <w:tl2br w:val="nil"/>
              <w:tr2bl w:val="nil"/>
            </w:tcBorders>
            <w:noWrap w:val="0"/>
            <w:vAlign w:val="center"/>
          </w:tcPr>
          <w:p w14:paraId="642899F9">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4"/>
                <w:sz w:val="21"/>
                <w:szCs w:val="21"/>
              </w:rPr>
              <w:t xml:space="preserve">与 </w:t>
            </w:r>
            <w:r>
              <w:rPr>
                <w:rFonts w:hint="default" w:ascii="Times New Roman" w:hAnsi="Times New Roman" w:eastAsia="宋体" w:cs="Times New Roman"/>
                <w:sz w:val="21"/>
                <w:szCs w:val="21"/>
              </w:rPr>
              <w:t>HIS</w:t>
            </w:r>
            <w:r>
              <w:rPr>
                <w:rFonts w:hint="default" w:ascii="Times New Roman" w:hAnsi="Times New Roman" w:eastAsia="宋体" w:cs="Times New Roman"/>
                <w:spacing w:val="4"/>
                <w:sz w:val="21"/>
                <w:szCs w:val="21"/>
              </w:rPr>
              <w:t xml:space="preserve"> 系统对接实现医院医疗电</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子票据的开具、冲红、打印、查询等核心业务</w:t>
            </w:r>
            <w:r>
              <w:rPr>
                <w:rFonts w:hint="default" w:ascii="Times New Roman" w:hAnsi="Times New Roman" w:eastAsia="宋体" w:cs="Times New Roman"/>
                <w:spacing w:val="5"/>
                <w:sz w:val="21"/>
                <w:szCs w:val="21"/>
              </w:rPr>
              <w:t>。</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2"/>
                <w:sz w:val="21"/>
                <w:szCs w:val="21"/>
              </w:rPr>
              <w:t>此外，</w:t>
            </w:r>
            <w:r>
              <w:rPr>
                <w:rFonts w:hint="default" w:ascii="Times New Roman" w:hAnsi="Times New Roman" w:eastAsia="宋体" w:cs="Times New Roman"/>
                <w:spacing w:val="-1"/>
                <w:sz w:val="21"/>
                <w:szCs w:val="21"/>
              </w:rPr>
              <w:t>系统还提供票据手工开具、票据批量开具、</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3"/>
                <w:sz w:val="21"/>
                <w:szCs w:val="21"/>
              </w:rPr>
              <w:t>票</w:t>
            </w:r>
            <w:r>
              <w:rPr>
                <w:rFonts w:hint="default" w:ascii="Times New Roman" w:hAnsi="Times New Roman" w:eastAsia="宋体" w:cs="Times New Roman"/>
                <w:spacing w:val="7"/>
                <w:sz w:val="21"/>
                <w:szCs w:val="21"/>
              </w:rPr>
              <w:t>据手工冲红功能。</w:t>
            </w:r>
          </w:p>
        </w:tc>
      </w:tr>
      <w:tr w14:paraId="4DD34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4D109C98">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2222" w:type="dxa"/>
            <w:tcBorders>
              <w:tl2br w:val="nil"/>
              <w:tr2bl w:val="nil"/>
            </w:tcBorders>
            <w:noWrap w:val="0"/>
            <w:vAlign w:val="center"/>
          </w:tcPr>
          <w:p w14:paraId="67905974">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9"/>
                <w:sz w:val="21"/>
                <w:szCs w:val="21"/>
              </w:rPr>
              <w:t>票据查询统计</w:t>
            </w:r>
          </w:p>
        </w:tc>
        <w:tc>
          <w:tcPr>
            <w:tcW w:w="6106" w:type="dxa"/>
            <w:tcBorders>
              <w:tl2br w:val="nil"/>
              <w:tr2bl w:val="nil"/>
            </w:tcBorders>
            <w:noWrap w:val="0"/>
            <w:vAlign w:val="center"/>
          </w:tcPr>
          <w:p w14:paraId="558CF65A">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9"/>
                <w:sz w:val="21"/>
                <w:szCs w:val="21"/>
              </w:rPr>
              <w:t>可查询单位历史开具的电</w:t>
            </w:r>
            <w:r>
              <w:rPr>
                <w:rFonts w:hint="default" w:ascii="Times New Roman" w:hAnsi="Times New Roman" w:eastAsia="宋体" w:cs="Times New Roman"/>
                <w:spacing w:val="5"/>
                <w:sz w:val="21"/>
                <w:szCs w:val="21"/>
              </w:rPr>
              <w:t>子</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8"/>
                <w:sz w:val="21"/>
                <w:szCs w:val="21"/>
              </w:rPr>
              <w:t>票据信</w:t>
            </w:r>
            <w:r>
              <w:rPr>
                <w:rFonts w:hint="default" w:ascii="Times New Roman" w:hAnsi="Times New Roman" w:eastAsia="宋体" w:cs="Times New Roman"/>
                <w:spacing w:val="5"/>
                <w:sz w:val="21"/>
                <w:szCs w:val="21"/>
              </w:rPr>
              <w:t>息</w:t>
            </w:r>
            <w:r>
              <w:rPr>
                <w:rFonts w:hint="default" w:ascii="Times New Roman" w:hAnsi="Times New Roman" w:eastAsia="宋体" w:cs="Times New Roman"/>
                <w:spacing w:val="4"/>
                <w:sz w:val="21"/>
                <w:szCs w:val="21"/>
              </w:rPr>
              <w:t>和下载电子票据版式文件，并根据查询</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6"/>
                <w:sz w:val="21"/>
                <w:szCs w:val="21"/>
              </w:rPr>
              <w:t>条</w:t>
            </w:r>
            <w:r>
              <w:rPr>
                <w:rFonts w:hint="default" w:ascii="Times New Roman" w:hAnsi="Times New Roman" w:eastAsia="宋体" w:cs="Times New Roman"/>
                <w:spacing w:val="8"/>
                <w:sz w:val="21"/>
                <w:szCs w:val="21"/>
              </w:rPr>
              <w:t>件生成各种维度统计分析报表。</w:t>
            </w:r>
          </w:p>
        </w:tc>
      </w:tr>
      <w:tr w14:paraId="49A5A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669A9A04">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5</w:t>
            </w:r>
          </w:p>
        </w:tc>
        <w:tc>
          <w:tcPr>
            <w:tcW w:w="2222" w:type="dxa"/>
            <w:tcBorders>
              <w:tl2br w:val="nil"/>
              <w:tr2bl w:val="nil"/>
            </w:tcBorders>
            <w:noWrap w:val="0"/>
            <w:vAlign w:val="center"/>
          </w:tcPr>
          <w:p w14:paraId="17545000">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票据交付</w:t>
            </w:r>
          </w:p>
        </w:tc>
        <w:tc>
          <w:tcPr>
            <w:tcW w:w="6106" w:type="dxa"/>
            <w:tcBorders>
              <w:tl2br w:val="nil"/>
              <w:tr2bl w:val="nil"/>
            </w:tcBorders>
            <w:noWrap w:val="0"/>
            <w:vAlign w:val="center"/>
          </w:tcPr>
          <w:p w14:paraId="6AE6B1F8">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8"/>
                <w:sz w:val="21"/>
                <w:szCs w:val="21"/>
              </w:rPr>
              <w:t>配合在单位现有通讯环境对票据</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1"/>
                <w:sz w:val="21"/>
                <w:szCs w:val="21"/>
              </w:rPr>
              <w:t>进行短信、</w:t>
            </w:r>
            <w:r>
              <w:rPr>
                <w:rFonts w:hint="default" w:ascii="Times New Roman" w:hAnsi="Times New Roman" w:eastAsia="宋体" w:cs="Times New Roman"/>
                <w:sz w:val="21"/>
                <w:szCs w:val="21"/>
              </w:rPr>
              <w:t xml:space="preserve">邮件、微信公众号、单位 APP 等方式 </w:t>
            </w:r>
            <w:r>
              <w:rPr>
                <w:rFonts w:hint="default" w:ascii="Times New Roman" w:hAnsi="Times New Roman" w:eastAsia="宋体" w:cs="Times New Roman"/>
                <w:spacing w:val="11"/>
                <w:sz w:val="21"/>
                <w:szCs w:val="21"/>
              </w:rPr>
              <w:t>交</w:t>
            </w:r>
            <w:r>
              <w:rPr>
                <w:rFonts w:hint="default" w:ascii="Times New Roman" w:hAnsi="Times New Roman" w:eastAsia="宋体" w:cs="Times New Roman"/>
                <w:spacing w:val="8"/>
                <w:sz w:val="21"/>
                <w:szCs w:val="21"/>
              </w:rPr>
              <w:t>付患者的对接工作。</w:t>
            </w:r>
          </w:p>
        </w:tc>
      </w:tr>
      <w:tr w14:paraId="04AFC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7C686B24">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w:t>
            </w:r>
          </w:p>
        </w:tc>
        <w:tc>
          <w:tcPr>
            <w:tcW w:w="2222" w:type="dxa"/>
            <w:tcBorders>
              <w:tl2br w:val="nil"/>
              <w:tr2bl w:val="nil"/>
            </w:tcBorders>
            <w:noWrap w:val="0"/>
            <w:vAlign w:val="center"/>
          </w:tcPr>
          <w:p w14:paraId="7035048D">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4"/>
                <w:sz w:val="21"/>
                <w:szCs w:val="21"/>
              </w:rPr>
              <w:t>电子票据领用</w:t>
            </w:r>
          </w:p>
        </w:tc>
        <w:tc>
          <w:tcPr>
            <w:tcW w:w="6106" w:type="dxa"/>
            <w:tcBorders>
              <w:tl2br w:val="nil"/>
              <w:tr2bl w:val="nil"/>
            </w:tcBorders>
            <w:noWrap w:val="0"/>
            <w:vAlign w:val="center"/>
          </w:tcPr>
          <w:p w14:paraId="29ADA8CB">
            <w:pPr>
              <w:keepNext w:val="0"/>
              <w:keepLines w:val="0"/>
              <w:pageBreakBefore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
                <w:sz w:val="21"/>
                <w:szCs w:val="21"/>
              </w:rPr>
              <w:t>通过系统在线进行电子票据领用申请。</w:t>
            </w:r>
          </w:p>
        </w:tc>
      </w:tr>
      <w:tr w14:paraId="23F41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942" w:type="dxa"/>
            <w:tcBorders>
              <w:tl2br w:val="nil"/>
              <w:tr2bl w:val="nil"/>
            </w:tcBorders>
            <w:noWrap w:val="0"/>
            <w:vAlign w:val="center"/>
          </w:tcPr>
          <w:p w14:paraId="4164F036">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7</w:t>
            </w:r>
          </w:p>
        </w:tc>
        <w:tc>
          <w:tcPr>
            <w:tcW w:w="2222" w:type="dxa"/>
            <w:tcBorders>
              <w:tl2br w:val="nil"/>
              <w:tr2bl w:val="nil"/>
            </w:tcBorders>
            <w:noWrap w:val="0"/>
            <w:vAlign w:val="center"/>
          </w:tcPr>
          <w:p w14:paraId="01797FA4">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6"/>
                <w:sz w:val="21"/>
                <w:szCs w:val="21"/>
              </w:rPr>
              <w:t>数据同步</w:t>
            </w:r>
          </w:p>
        </w:tc>
        <w:tc>
          <w:tcPr>
            <w:tcW w:w="6106" w:type="dxa"/>
            <w:tcBorders>
              <w:tl2br w:val="nil"/>
              <w:tr2bl w:val="nil"/>
            </w:tcBorders>
            <w:noWrap w:val="0"/>
            <w:vAlign w:val="center"/>
          </w:tcPr>
          <w:p w14:paraId="52297048">
            <w:pPr>
              <w:keepNext w:val="0"/>
              <w:keepLines w:val="0"/>
              <w:pageBreakBefore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18"/>
                <w:sz w:val="21"/>
                <w:szCs w:val="21"/>
              </w:rPr>
              <w:t>按照电子票据服务平台和业务系统间在交互电子票据相关电子信息时的接口技术规范，实现电子票据的下载和入账反馈。</w:t>
            </w:r>
          </w:p>
        </w:tc>
      </w:tr>
      <w:tr w14:paraId="3D27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4" w:hRule="atLeast"/>
          <w:jc w:val="center"/>
        </w:trPr>
        <w:tc>
          <w:tcPr>
            <w:tcW w:w="942" w:type="dxa"/>
            <w:tcBorders>
              <w:tl2br w:val="nil"/>
              <w:tr2bl w:val="nil"/>
            </w:tcBorders>
            <w:noWrap w:val="0"/>
            <w:vAlign w:val="center"/>
          </w:tcPr>
          <w:p w14:paraId="56FD73B2">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8</w:t>
            </w:r>
          </w:p>
        </w:tc>
        <w:tc>
          <w:tcPr>
            <w:tcW w:w="2222" w:type="dxa"/>
            <w:tcBorders>
              <w:tl2br w:val="nil"/>
              <w:tr2bl w:val="nil"/>
            </w:tcBorders>
            <w:noWrap w:val="0"/>
            <w:vAlign w:val="center"/>
          </w:tcPr>
          <w:p w14:paraId="715FC2EA">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5"/>
                <w:sz w:val="21"/>
                <w:szCs w:val="21"/>
              </w:rPr>
              <w:t>电子票据开</w:t>
            </w:r>
            <w:r>
              <w:rPr>
                <w:rFonts w:hint="default" w:ascii="Times New Roman" w:hAnsi="Times New Roman" w:eastAsia="宋体" w:cs="Times New Roman"/>
                <w:spacing w:val="-3"/>
                <w:sz w:val="21"/>
                <w:szCs w:val="21"/>
              </w:rPr>
              <w:t>具</w:t>
            </w:r>
          </w:p>
        </w:tc>
        <w:tc>
          <w:tcPr>
            <w:tcW w:w="6106" w:type="dxa"/>
            <w:tcBorders>
              <w:tl2br w:val="nil"/>
              <w:tr2bl w:val="nil"/>
            </w:tcBorders>
            <w:noWrap w:val="0"/>
            <w:vAlign w:val="center"/>
          </w:tcPr>
          <w:p w14:paraId="63A770E0">
            <w:pPr>
              <w:keepNext w:val="0"/>
              <w:keepLines w:val="0"/>
              <w:pageBreakBefore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2"/>
                <w:sz w:val="21"/>
                <w:szCs w:val="21"/>
              </w:rPr>
              <w:t>系统支持全票面信息校验功，同时单位在使用票据时，可实现电子票据的录入、删除、修改、作废、查询、批量打印、批量回执等功能。</w:t>
            </w:r>
          </w:p>
        </w:tc>
      </w:tr>
      <w:tr w14:paraId="4B56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08C7A6E5">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2222" w:type="dxa"/>
            <w:tcBorders>
              <w:tl2br w:val="nil"/>
              <w:tr2bl w:val="nil"/>
            </w:tcBorders>
            <w:noWrap w:val="0"/>
            <w:vAlign w:val="center"/>
          </w:tcPr>
          <w:p w14:paraId="3D79AB97">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6"/>
                <w:sz w:val="21"/>
                <w:szCs w:val="21"/>
              </w:rPr>
              <w:t>票据核销</w:t>
            </w:r>
          </w:p>
        </w:tc>
        <w:tc>
          <w:tcPr>
            <w:tcW w:w="6106" w:type="dxa"/>
            <w:tcBorders>
              <w:tl2br w:val="nil"/>
              <w:tr2bl w:val="nil"/>
            </w:tcBorders>
            <w:noWrap w:val="0"/>
            <w:vAlign w:val="center"/>
          </w:tcPr>
          <w:p w14:paraId="0A4F62C9">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9"/>
                <w:kern w:val="2"/>
                <w:sz w:val="21"/>
                <w:szCs w:val="21"/>
                <w:lang w:val="en-US" w:eastAsia="zh-CN" w:bidi="ar-SA"/>
              </w:rPr>
            </w:pPr>
            <w:r>
              <w:rPr>
                <w:rFonts w:hint="default" w:ascii="Times New Roman" w:hAnsi="Times New Roman" w:eastAsia="宋体" w:cs="Times New Roman"/>
                <w:spacing w:val="9"/>
                <w:kern w:val="2"/>
                <w:sz w:val="21"/>
                <w:szCs w:val="21"/>
                <w:lang w:val="en-US" w:eastAsia="zh-CN" w:bidi="ar-SA"/>
              </w:rPr>
              <w:t>医院可向财政部门提交申请核销电子票据。系统自动根据核销申请，进行自动核销。</w:t>
            </w:r>
          </w:p>
        </w:tc>
      </w:tr>
      <w:tr w14:paraId="67510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21E321B6">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10</w:t>
            </w:r>
          </w:p>
        </w:tc>
        <w:tc>
          <w:tcPr>
            <w:tcW w:w="2222" w:type="dxa"/>
            <w:tcBorders>
              <w:tl2br w:val="nil"/>
              <w:tr2bl w:val="nil"/>
            </w:tcBorders>
            <w:noWrap w:val="0"/>
            <w:vAlign w:val="center"/>
          </w:tcPr>
          <w:p w14:paraId="1540A7F1">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4"/>
                <w:sz w:val="21"/>
                <w:szCs w:val="21"/>
              </w:rPr>
              <w:t>电子票据打印</w:t>
            </w:r>
          </w:p>
        </w:tc>
        <w:tc>
          <w:tcPr>
            <w:tcW w:w="6106" w:type="dxa"/>
            <w:tcBorders>
              <w:tl2br w:val="nil"/>
              <w:tr2bl w:val="nil"/>
            </w:tcBorders>
            <w:noWrap w:val="0"/>
            <w:vAlign w:val="center"/>
          </w:tcPr>
          <w:p w14:paraId="63A7CD9B">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9"/>
                <w:kern w:val="2"/>
                <w:sz w:val="21"/>
                <w:szCs w:val="21"/>
                <w:lang w:val="en-US" w:eastAsia="zh-CN" w:bidi="ar-SA"/>
              </w:rPr>
            </w:pPr>
            <w:r>
              <w:rPr>
                <w:rFonts w:hint="default" w:ascii="Times New Roman" w:hAnsi="Times New Roman" w:eastAsia="宋体" w:cs="Times New Roman"/>
                <w:spacing w:val="9"/>
                <w:kern w:val="2"/>
                <w:sz w:val="21"/>
                <w:szCs w:val="21"/>
                <w:lang w:val="en-US" w:eastAsia="zh-CN" w:bidi="ar-SA"/>
              </w:rPr>
              <w:t>支持按各类条件，查询本单位开具的医疗电子票据，可在线打印。</w:t>
            </w:r>
          </w:p>
        </w:tc>
      </w:tr>
      <w:tr w14:paraId="0A660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79C850EA">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2222" w:type="dxa"/>
            <w:tcBorders>
              <w:tl2br w:val="nil"/>
              <w:tr2bl w:val="nil"/>
            </w:tcBorders>
            <w:noWrap w:val="0"/>
            <w:vAlign w:val="center"/>
          </w:tcPr>
          <w:p w14:paraId="7EF7AC53">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pacing w:val="-1"/>
                <w:sz w:val="21"/>
                <w:szCs w:val="21"/>
              </w:rPr>
            </w:pPr>
            <w:r>
              <w:rPr>
                <w:rFonts w:hint="default" w:ascii="Times New Roman" w:hAnsi="Times New Roman" w:eastAsia="宋体" w:cs="Times New Roman"/>
                <w:spacing w:val="-4"/>
                <w:sz w:val="21"/>
                <w:szCs w:val="21"/>
              </w:rPr>
              <w:t>电子票据下载</w:t>
            </w:r>
          </w:p>
        </w:tc>
        <w:tc>
          <w:tcPr>
            <w:tcW w:w="6106" w:type="dxa"/>
            <w:tcBorders>
              <w:tl2br w:val="nil"/>
              <w:tr2bl w:val="nil"/>
            </w:tcBorders>
            <w:noWrap w:val="0"/>
            <w:vAlign w:val="center"/>
          </w:tcPr>
          <w:p w14:paraId="16DD12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0" w:lineRule="atLeast"/>
              <w:ind w:left="110" w:leftChars="50" w:right="110" w:rightChars="50" w:firstLine="0"/>
              <w:jc w:val="left"/>
              <w:textAlignment w:val="auto"/>
              <w:rPr>
                <w:rFonts w:hint="default" w:ascii="Times New Roman" w:hAnsi="Times New Roman" w:eastAsia="宋体" w:cs="Times New Roman"/>
                <w:spacing w:val="9"/>
                <w:kern w:val="2"/>
                <w:sz w:val="21"/>
                <w:szCs w:val="21"/>
                <w:lang w:val="en-US" w:eastAsia="zh-CN" w:bidi="ar-SA"/>
              </w:rPr>
            </w:pPr>
            <w:r>
              <w:rPr>
                <w:rFonts w:hint="default" w:ascii="Times New Roman" w:hAnsi="Times New Roman" w:eastAsia="宋体" w:cs="Times New Roman"/>
                <w:spacing w:val="9"/>
                <w:kern w:val="2"/>
                <w:sz w:val="21"/>
                <w:szCs w:val="21"/>
                <w:lang w:val="en-US" w:eastAsia="zh-CN" w:bidi="ar-SA"/>
              </w:rPr>
              <w:t>支持按各类条件，查询本单位开具的医疗电子票据，可下载电子文件。</w:t>
            </w:r>
          </w:p>
        </w:tc>
      </w:tr>
      <w:tr w14:paraId="2344B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jc w:val="center"/>
        </w:trPr>
        <w:tc>
          <w:tcPr>
            <w:tcW w:w="942" w:type="dxa"/>
            <w:tcBorders>
              <w:tl2br w:val="nil"/>
              <w:tr2bl w:val="nil"/>
            </w:tcBorders>
            <w:noWrap w:val="0"/>
            <w:vAlign w:val="center"/>
          </w:tcPr>
          <w:p w14:paraId="3B056116">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w:t>
            </w:r>
          </w:p>
        </w:tc>
        <w:tc>
          <w:tcPr>
            <w:tcW w:w="2222" w:type="dxa"/>
            <w:tcBorders>
              <w:tl2br w:val="nil"/>
              <w:tr2bl w:val="nil"/>
            </w:tcBorders>
            <w:noWrap w:val="0"/>
            <w:vAlign w:val="center"/>
          </w:tcPr>
          <w:p w14:paraId="2625192D">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pacing w:val="-1"/>
                <w:sz w:val="21"/>
                <w:szCs w:val="21"/>
              </w:rPr>
              <w:t>CA</w:t>
            </w:r>
            <w:r>
              <w:rPr>
                <w:rFonts w:hint="default" w:ascii="Times New Roman" w:hAnsi="Times New Roman" w:eastAsia="宋体" w:cs="Times New Roman"/>
                <w:spacing w:val="-2"/>
                <w:sz w:val="21"/>
                <w:szCs w:val="21"/>
              </w:rPr>
              <w:t xml:space="preserve"> </w:t>
            </w:r>
            <w:r>
              <w:rPr>
                <w:rFonts w:hint="default" w:ascii="Times New Roman" w:hAnsi="Times New Roman" w:eastAsia="宋体" w:cs="Times New Roman"/>
                <w:spacing w:val="-1"/>
                <w:sz w:val="21"/>
                <w:szCs w:val="21"/>
              </w:rPr>
              <w:t>用户认证</w:t>
            </w:r>
            <w:r>
              <w:rPr>
                <w:rFonts w:hint="default" w:ascii="Times New Roman" w:hAnsi="Times New Roman" w:eastAsia="宋体" w:cs="Times New Roman"/>
                <w:sz w:val="21"/>
                <w:szCs w:val="21"/>
              </w:rPr>
              <w:t xml:space="preserve"> </w:t>
            </w:r>
            <w:r>
              <w:rPr>
                <w:rFonts w:hint="default" w:ascii="Times New Roman" w:hAnsi="Times New Roman" w:eastAsia="宋体" w:cs="Times New Roman"/>
                <w:spacing w:val="7"/>
                <w:sz w:val="21"/>
                <w:szCs w:val="21"/>
              </w:rPr>
              <w:t>服务</w:t>
            </w:r>
          </w:p>
        </w:tc>
        <w:tc>
          <w:tcPr>
            <w:tcW w:w="6106" w:type="dxa"/>
            <w:tcBorders>
              <w:tl2br w:val="nil"/>
              <w:tr2bl w:val="nil"/>
            </w:tcBorders>
            <w:noWrap w:val="0"/>
            <w:vAlign w:val="center"/>
          </w:tcPr>
          <w:p w14:paraId="09CE735E">
            <w:pPr>
              <w:keepNext w:val="0"/>
              <w:keepLines w:val="0"/>
              <w:pageBreakBefore w:val="0"/>
              <w:widowControl w:val="0"/>
              <w:shd w:val="clear"/>
              <w:kinsoku/>
              <w:wordWrap/>
              <w:overflowPunct/>
              <w:topLinePunct w:val="0"/>
              <w:autoSpaceDE/>
              <w:autoSpaceDN/>
              <w:bidi w:val="0"/>
              <w:adjustRightInd/>
              <w:snapToGrid/>
              <w:spacing w:line="0" w:lineRule="atLeast"/>
              <w:ind w:left="110" w:leftChars="50" w:right="110" w:rightChars="50" w:firstLine="0"/>
              <w:jc w:val="left"/>
              <w:textAlignment w:val="auto"/>
              <w:rPr>
                <w:rFonts w:hint="default" w:ascii="Times New Roman" w:hAnsi="Times New Roman" w:eastAsia="宋体" w:cs="Times New Roman"/>
                <w:spacing w:val="9"/>
                <w:sz w:val="21"/>
                <w:szCs w:val="21"/>
                <w:lang w:val="en-US" w:eastAsia="zh-CN"/>
              </w:rPr>
            </w:pPr>
            <w:r>
              <w:rPr>
                <w:rFonts w:hint="default" w:ascii="Times New Roman" w:hAnsi="Times New Roman" w:eastAsia="宋体" w:cs="Times New Roman"/>
                <w:spacing w:val="9"/>
                <w:sz w:val="21"/>
                <w:szCs w:val="21"/>
                <w:lang w:val="en-US" w:eastAsia="zh-CN"/>
              </w:rPr>
              <w:t>签名/验签 CA 专用硬件设备，每年授权实现电子票据数据签名加密。</w:t>
            </w:r>
          </w:p>
        </w:tc>
      </w:tr>
    </w:tbl>
    <w:p w14:paraId="0EEE077A">
      <w:pPr>
        <w:shd w:val="clear"/>
        <w:rPr>
          <w:rFonts w:hint="eastAsia"/>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94B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34248">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F34248">
                    <w:pPr>
                      <w:pStyle w:val="4"/>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ODI1ODQ2ZmU5MGI4ZDYzN2Q5NmJhZjRkYzRmNGQifQ=="/>
  </w:docVars>
  <w:rsids>
    <w:rsidRoot w:val="31BE5639"/>
    <w:rsid w:val="000D2066"/>
    <w:rsid w:val="0A9521BD"/>
    <w:rsid w:val="0BB02B08"/>
    <w:rsid w:val="15FD1749"/>
    <w:rsid w:val="1EA73AFB"/>
    <w:rsid w:val="20E66535"/>
    <w:rsid w:val="24105373"/>
    <w:rsid w:val="24CD10C1"/>
    <w:rsid w:val="260A3015"/>
    <w:rsid w:val="306B5AB8"/>
    <w:rsid w:val="31BE5639"/>
    <w:rsid w:val="403865C3"/>
    <w:rsid w:val="45883A45"/>
    <w:rsid w:val="4DFB4F2B"/>
    <w:rsid w:val="4EE576E4"/>
    <w:rsid w:val="50794274"/>
    <w:rsid w:val="5283790B"/>
    <w:rsid w:val="53101C5F"/>
    <w:rsid w:val="56971342"/>
    <w:rsid w:val="5D5660BF"/>
    <w:rsid w:val="64184F51"/>
    <w:rsid w:val="64797076"/>
    <w:rsid w:val="6A5010EE"/>
    <w:rsid w:val="6E7C46D8"/>
    <w:rsid w:val="703103DC"/>
    <w:rsid w:val="75893137"/>
    <w:rsid w:val="76BC1A50"/>
    <w:rsid w:val="7DBF59D6"/>
    <w:rsid w:val="7FAA6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中国土木</Company>
  <Pages>1</Pages>
  <Words>611</Words>
  <Characters>620</Characters>
  <Lines>0</Lines>
  <Paragraphs>0</Paragraphs>
  <TotalTime>1</TotalTime>
  <ScaleCrop>false</ScaleCrop>
  <LinksUpToDate>false</LinksUpToDate>
  <CharactersWithSpaces>639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2024-07-09T06:29:00Z</dcterms:created>
  <dc:creator>宫平</dc:creator>
  <cp:lastModifiedBy>Administrator</cp:lastModifiedBy>
  <dcterms:modified xsi:type="dcterms:W3CDTF">2024-09-25T10:15:39Z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CF004EF7707140C0A6C85E761D52EF79_13</vt:lpwstr>
  </property>
</Properties>
</file>